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359DA0" w14:textId="518A4118" w:rsidR="005A1898" w:rsidRPr="001B6A19" w:rsidRDefault="005A1898" w:rsidP="005A1898">
      <w:pPr>
        <w:pStyle w:val="3GPPHeader"/>
        <w:spacing w:after="0"/>
        <w:rPr>
          <w:highlight w:val="yellow"/>
        </w:rPr>
      </w:pPr>
      <w:bookmarkStart w:id="0" w:name="_GoBack"/>
      <w:bookmarkEnd w:id="0"/>
      <w:r w:rsidRPr="001B6A19">
        <w:rPr>
          <w:noProof/>
        </w:rPr>
        <w:t>3GPP</w:t>
      </w:r>
      <w:r w:rsidRPr="001B6A19">
        <w:t xml:space="preserve"> TSG RAN WG1 Meeting </w:t>
      </w:r>
      <w:r w:rsidR="002A1906">
        <w:t>#92</w:t>
      </w:r>
      <w:r w:rsidRPr="001B6A19">
        <w:tab/>
        <w:t>R1-</w:t>
      </w:r>
      <w:r w:rsidR="00EB20F7" w:rsidRPr="001B6A19">
        <w:t>180</w:t>
      </w:r>
      <w:r w:rsidR="003046C5">
        <w:t>2914</w:t>
      </w:r>
    </w:p>
    <w:p w14:paraId="4BECD432" w14:textId="3D3DCF95" w:rsidR="005A1898" w:rsidRPr="001B6A19" w:rsidRDefault="002A1906" w:rsidP="005A1898">
      <w:pPr>
        <w:pStyle w:val="3GPPHeader"/>
        <w:spacing w:after="0"/>
        <w:rPr>
          <w:sz w:val="22"/>
        </w:rPr>
      </w:pPr>
      <w:r>
        <w:rPr>
          <w:sz w:val="22"/>
        </w:rPr>
        <w:t>Athens, Greece, February 26</w:t>
      </w:r>
      <w:r w:rsidRPr="00EB20F7">
        <w:rPr>
          <w:sz w:val="22"/>
          <w:vertAlign w:val="superscript"/>
        </w:rPr>
        <w:t>th</w:t>
      </w:r>
      <w:r>
        <w:rPr>
          <w:sz w:val="22"/>
        </w:rPr>
        <w:t xml:space="preserve"> – March 2</w:t>
      </w:r>
      <w:r w:rsidRPr="00EB20F7">
        <w:rPr>
          <w:sz w:val="22"/>
          <w:vertAlign w:val="superscript"/>
        </w:rPr>
        <w:t>nd</w:t>
      </w:r>
      <w:r>
        <w:rPr>
          <w:sz w:val="22"/>
        </w:rPr>
        <w:t xml:space="preserve"> , 2018</w:t>
      </w:r>
    </w:p>
    <w:p w14:paraId="04C227EB" w14:textId="77777777" w:rsidR="005A1898" w:rsidRPr="001B6A19" w:rsidRDefault="005A1898" w:rsidP="00311702">
      <w:pPr>
        <w:pStyle w:val="3GPPHeader"/>
        <w:rPr>
          <w:sz w:val="22"/>
        </w:rPr>
      </w:pPr>
    </w:p>
    <w:p w14:paraId="52AAB37F" w14:textId="021BF855" w:rsidR="00E90E49" w:rsidRPr="001B6A19" w:rsidRDefault="00E90E49" w:rsidP="00311702">
      <w:pPr>
        <w:pStyle w:val="3GPPHeader"/>
        <w:rPr>
          <w:sz w:val="22"/>
        </w:rPr>
      </w:pPr>
      <w:r w:rsidRPr="001B6A19">
        <w:rPr>
          <w:sz w:val="22"/>
        </w:rPr>
        <w:t>Agenda Item:</w:t>
      </w:r>
      <w:r w:rsidRPr="001B6A19">
        <w:rPr>
          <w:sz w:val="22"/>
        </w:rPr>
        <w:tab/>
      </w:r>
      <w:r w:rsidR="00BA21AF" w:rsidRPr="001B6A19">
        <w:rPr>
          <w:sz w:val="22"/>
        </w:rPr>
        <w:t>7.</w:t>
      </w:r>
      <w:r w:rsidR="00CC23F9">
        <w:rPr>
          <w:sz w:val="22"/>
        </w:rPr>
        <w:t>1.</w:t>
      </w:r>
      <w:r w:rsidR="00A23469" w:rsidRPr="001B6A19">
        <w:rPr>
          <w:sz w:val="22"/>
        </w:rPr>
        <w:t>3</w:t>
      </w:r>
      <w:r w:rsidR="006F1D3A" w:rsidRPr="001B6A19">
        <w:rPr>
          <w:sz w:val="22"/>
        </w:rPr>
        <w:t>.</w:t>
      </w:r>
      <w:r w:rsidR="00A23469" w:rsidRPr="001B6A19">
        <w:rPr>
          <w:sz w:val="22"/>
        </w:rPr>
        <w:t>3</w:t>
      </w:r>
      <w:r w:rsidR="006F1D3A" w:rsidRPr="001B6A19">
        <w:rPr>
          <w:sz w:val="22"/>
        </w:rPr>
        <w:t>.</w:t>
      </w:r>
      <w:r w:rsidR="00A23469" w:rsidRPr="001B6A19">
        <w:rPr>
          <w:sz w:val="22"/>
        </w:rPr>
        <w:t>6</w:t>
      </w:r>
    </w:p>
    <w:p w14:paraId="79B4F616" w14:textId="77777777" w:rsidR="00E90E49" w:rsidRPr="001B6A19" w:rsidRDefault="003D3C45" w:rsidP="00F64C2B">
      <w:pPr>
        <w:pStyle w:val="3GPPHeader"/>
        <w:rPr>
          <w:sz w:val="22"/>
        </w:rPr>
      </w:pPr>
      <w:r w:rsidRPr="001B6A19">
        <w:rPr>
          <w:sz w:val="22"/>
        </w:rPr>
        <w:t>Source:</w:t>
      </w:r>
      <w:r w:rsidR="00E90E49" w:rsidRPr="001B6A19">
        <w:rPr>
          <w:sz w:val="22"/>
        </w:rPr>
        <w:tab/>
      </w:r>
      <w:r w:rsidR="00F64C2B" w:rsidRPr="001B6A19">
        <w:rPr>
          <w:sz w:val="22"/>
        </w:rPr>
        <w:t>Ericsson</w:t>
      </w:r>
    </w:p>
    <w:p w14:paraId="2E5199DD" w14:textId="215AF7E0" w:rsidR="00E90E49" w:rsidRPr="001B6A19" w:rsidRDefault="003D3C45" w:rsidP="00311702">
      <w:pPr>
        <w:pStyle w:val="3GPPHeader"/>
        <w:rPr>
          <w:sz w:val="22"/>
        </w:rPr>
      </w:pPr>
      <w:r w:rsidRPr="001B6A19">
        <w:rPr>
          <w:sz w:val="22"/>
        </w:rPr>
        <w:t>Title:</w:t>
      </w:r>
      <w:r w:rsidR="00E90E49" w:rsidRPr="001B6A19">
        <w:rPr>
          <w:sz w:val="22"/>
        </w:rPr>
        <w:tab/>
      </w:r>
      <w:r w:rsidR="00741A41" w:rsidRPr="001B6A19">
        <w:rPr>
          <w:sz w:val="22"/>
        </w:rPr>
        <w:t>On Multiplexing Data with Different Transmission Durations</w:t>
      </w:r>
    </w:p>
    <w:p w14:paraId="0B886E1B" w14:textId="77777777" w:rsidR="00E90E49" w:rsidRDefault="00E90E49" w:rsidP="00D546FF">
      <w:pPr>
        <w:pStyle w:val="3GPPHeader"/>
        <w:rPr>
          <w:sz w:val="22"/>
        </w:rPr>
      </w:pPr>
      <w:r w:rsidRPr="00CE0424">
        <w:rPr>
          <w:sz w:val="22"/>
        </w:rPr>
        <w:t>Document for:</w:t>
      </w:r>
      <w:r w:rsidRPr="00CE0424">
        <w:rPr>
          <w:sz w:val="22"/>
        </w:rPr>
        <w:tab/>
      </w:r>
      <w:r w:rsidRPr="006F1D3A">
        <w:rPr>
          <w:sz w:val="22"/>
        </w:rPr>
        <w:t>Discussion, Decision</w:t>
      </w:r>
    </w:p>
    <w:p w14:paraId="04E4106E" w14:textId="77777777" w:rsidR="00C24345" w:rsidRDefault="00E90E49" w:rsidP="00A2052C">
      <w:pPr>
        <w:pStyle w:val="Heading1"/>
      </w:pPr>
      <w:r w:rsidRPr="00CE0424">
        <w:t>Introduction</w:t>
      </w:r>
    </w:p>
    <w:p w14:paraId="3C56FADE" w14:textId="70EF63AA" w:rsidR="00A2052C" w:rsidRPr="00CB57BC" w:rsidRDefault="00741A41" w:rsidP="000604EE">
      <w:pPr>
        <w:pStyle w:val="Observation"/>
        <w:numPr>
          <w:ilvl w:val="0"/>
          <w:numId w:val="0"/>
        </w:numPr>
        <w:ind w:left="1701" w:hanging="1701"/>
        <w:rPr>
          <w:b w:val="0"/>
        </w:rPr>
      </w:pPr>
      <w:bookmarkStart w:id="1" w:name="_Toc497903691"/>
      <w:r w:rsidRPr="00CB57BC">
        <w:rPr>
          <w:b w:val="0"/>
        </w:rPr>
        <w:t>In RAN1#9</w:t>
      </w:r>
      <w:r w:rsidR="007E383D" w:rsidRPr="00CB57BC">
        <w:rPr>
          <w:b w:val="0"/>
        </w:rPr>
        <w:t>1</w:t>
      </w:r>
      <w:r w:rsidRPr="00CB57BC">
        <w:rPr>
          <w:b w:val="0"/>
        </w:rPr>
        <w:t>, the following agreements on DL Pre-empti</w:t>
      </w:r>
      <w:r w:rsidR="006534F7" w:rsidRPr="00CB57BC">
        <w:rPr>
          <w:b w:val="0"/>
        </w:rPr>
        <w:t xml:space="preserve">on indication were reached </w:t>
      </w:r>
      <w:r w:rsidR="006534F7">
        <w:rPr>
          <w:b w:val="0"/>
        </w:rPr>
        <w:fldChar w:fldCharType="begin"/>
      </w:r>
      <w:r w:rsidR="006534F7" w:rsidRPr="00CB57BC">
        <w:rPr>
          <w:b w:val="0"/>
        </w:rPr>
        <w:instrText xml:space="preserve"> REF _Ref498085948 \r \h </w:instrText>
      </w:r>
      <w:r w:rsidR="006534F7">
        <w:rPr>
          <w:b w:val="0"/>
        </w:rPr>
      </w:r>
      <w:r w:rsidR="006534F7">
        <w:rPr>
          <w:b w:val="0"/>
        </w:rPr>
        <w:fldChar w:fldCharType="separate"/>
      </w:r>
      <w:r w:rsidR="006534F7" w:rsidRPr="00CB57BC">
        <w:rPr>
          <w:b w:val="0"/>
        </w:rPr>
        <w:t>[1]</w:t>
      </w:r>
      <w:r w:rsidR="006534F7">
        <w:rPr>
          <w:b w:val="0"/>
        </w:rPr>
        <w:fldChar w:fldCharType="end"/>
      </w:r>
      <w:r w:rsidR="00B332A3" w:rsidRPr="00CB57BC">
        <w:rPr>
          <w:b w:val="0"/>
        </w:rPr>
        <w:t>:</w:t>
      </w:r>
      <w:bookmarkEnd w:id="1"/>
    </w:p>
    <w:p w14:paraId="46BF839A" w14:textId="77777777" w:rsidR="00B25203" w:rsidRPr="00B23AAF" w:rsidRDefault="00B25203" w:rsidP="00B25203">
      <w:pPr>
        <w:ind w:left="1440" w:hanging="1440"/>
        <w:rPr>
          <w:szCs w:val="20"/>
          <w:highlight w:val="darkYellow"/>
          <w:lang w:eastAsia="x-none"/>
        </w:rPr>
      </w:pPr>
      <w:r w:rsidRPr="00B23AAF">
        <w:rPr>
          <w:szCs w:val="20"/>
          <w:highlight w:val="darkYellow"/>
          <w:lang w:eastAsia="x-none"/>
        </w:rPr>
        <w:t>Working assumption:</w:t>
      </w:r>
    </w:p>
    <w:p w14:paraId="3C288E87" w14:textId="77777777" w:rsidR="00B25203" w:rsidRPr="001B6A19" w:rsidRDefault="00B25203" w:rsidP="00B25203">
      <w:pPr>
        <w:numPr>
          <w:ilvl w:val="0"/>
          <w:numId w:val="21"/>
        </w:numPr>
        <w:spacing w:after="0" w:line="240" w:lineRule="auto"/>
        <w:rPr>
          <w:rFonts w:eastAsia="SimSun"/>
          <w:szCs w:val="20"/>
        </w:rPr>
      </w:pPr>
      <w:r w:rsidRPr="001B6A19">
        <w:rPr>
          <w:rFonts w:eastAsia="SimSun" w:hint="eastAsia"/>
          <w:szCs w:val="20"/>
        </w:rPr>
        <w:t xml:space="preserve">DCI payload size for preemption indication is </w:t>
      </w:r>
      <w:r w:rsidRPr="001B6A19">
        <w:rPr>
          <w:rFonts w:eastAsia="SimSun"/>
          <w:szCs w:val="20"/>
        </w:rPr>
        <w:t>configurable</w:t>
      </w:r>
      <w:r w:rsidRPr="001B6A19">
        <w:rPr>
          <w:rFonts w:eastAsia="SimSun" w:hint="eastAsia"/>
          <w:szCs w:val="20"/>
        </w:rPr>
        <w:t xml:space="preserve"> by RRC</w:t>
      </w:r>
    </w:p>
    <w:p w14:paraId="7AF093E0" w14:textId="77777777" w:rsidR="00B25203" w:rsidRPr="001B6A19" w:rsidRDefault="00B25203" w:rsidP="00B25203">
      <w:pPr>
        <w:numPr>
          <w:ilvl w:val="1"/>
          <w:numId w:val="21"/>
        </w:numPr>
        <w:spacing w:after="0" w:line="240" w:lineRule="auto"/>
        <w:rPr>
          <w:rFonts w:eastAsia="SimSun"/>
          <w:szCs w:val="20"/>
        </w:rPr>
      </w:pPr>
      <w:r w:rsidRPr="001B6A19">
        <w:rPr>
          <w:rFonts w:eastAsia="SimSun"/>
          <w:szCs w:val="20"/>
        </w:rPr>
        <w:t>FFS the interaction with DCI payload size for SFI especially in terms of RRC configuration, and potentially other DCI formats</w:t>
      </w:r>
    </w:p>
    <w:p w14:paraId="7A65F979" w14:textId="77777777" w:rsidR="00B25203" w:rsidRPr="001B6A19" w:rsidRDefault="00B25203" w:rsidP="00B25203">
      <w:pPr>
        <w:ind w:left="1440" w:hanging="1440"/>
        <w:rPr>
          <w:b/>
          <w:lang w:eastAsia="x-none"/>
        </w:rPr>
      </w:pPr>
    </w:p>
    <w:p w14:paraId="352095F6" w14:textId="77777777" w:rsidR="00B25203" w:rsidRPr="00973B48" w:rsidRDefault="00B25203" w:rsidP="00B25203">
      <w:pPr>
        <w:ind w:left="1440" w:hanging="1440"/>
        <w:rPr>
          <w:b/>
          <w:szCs w:val="20"/>
          <w:lang w:eastAsia="x-none"/>
        </w:rPr>
      </w:pPr>
      <w:r w:rsidRPr="00973B48">
        <w:rPr>
          <w:szCs w:val="20"/>
          <w:highlight w:val="green"/>
          <w:lang w:eastAsia="x-none"/>
        </w:rPr>
        <w:t>Agreements</w:t>
      </w:r>
      <w:r w:rsidRPr="00973B48">
        <w:rPr>
          <w:b/>
          <w:szCs w:val="20"/>
          <w:lang w:eastAsia="x-none"/>
        </w:rPr>
        <w:t>:</w:t>
      </w:r>
    </w:p>
    <w:p w14:paraId="3E25D3B6" w14:textId="77777777" w:rsidR="00B25203" w:rsidRPr="001B6A19" w:rsidRDefault="00B25203" w:rsidP="00212A7E">
      <w:pPr>
        <w:numPr>
          <w:ilvl w:val="0"/>
          <w:numId w:val="21"/>
        </w:numPr>
        <w:spacing w:after="40" w:line="240" w:lineRule="auto"/>
        <w:rPr>
          <w:rFonts w:eastAsia="SimSun"/>
          <w:szCs w:val="20"/>
        </w:rPr>
      </w:pPr>
      <w:r w:rsidRPr="001B6A19">
        <w:rPr>
          <w:szCs w:val="20"/>
        </w:rPr>
        <w:t>Within a PUCCH group, UE can be configured to monito</w:t>
      </w:r>
      <w:r w:rsidRPr="001B6A19">
        <w:rPr>
          <w:rFonts w:eastAsia="SimSun" w:hint="eastAsia"/>
          <w:szCs w:val="20"/>
        </w:rPr>
        <w:t>r</w:t>
      </w:r>
      <w:r w:rsidRPr="001B6A19">
        <w:rPr>
          <w:szCs w:val="20"/>
        </w:rPr>
        <w:t xml:space="preserve"> group common PDCCH </w:t>
      </w:r>
      <w:r w:rsidRPr="001B6A19">
        <w:rPr>
          <w:rFonts w:eastAsia="SimSun" w:hint="eastAsia"/>
          <w:szCs w:val="20"/>
        </w:rPr>
        <w:t xml:space="preserve">for </w:t>
      </w:r>
      <w:r w:rsidRPr="001B6A19">
        <w:rPr>
          <w:rFonts w:eastAsia="SimSun"/>
          <w:szCs w:val="20"/>
        </w:rPr>
        <w:t>pre-emption</w:t>
      </w:r>
      <w:r w:rsidRPr="001B6A19">
        <w:rPr>
          <w:rFonts w:eastAsia="SimSun" w:hint="eastAsia"/>
          <w:szCs w:val="20"/>
        </w:rPr>
        <w:t xml:space="preserve"> indication </w:t>
      </w:r>
      <w:r w:rsidRPr="001B6A19">
        <w:rPr>
          <w:szCs w:val="20"/>
        </w:rPr>
        <w:t xml:space="preserve">for a Scell on a different </w:t>
      </w:r>
      <w:r w:rsidRPr="001B6A19">
        <w:rPr>
          <w:rFonts w:eastAsia="SimSun" w:hint="eastAsia"/>
          <w:szCs w:val="20"/>
        </w:rPr>
        <w:t xml:space="preserve">serving </w:t>
      </w:r>
      <w:r w:rsidRPr="001B6A19">
        <w:rPr>
          <w:szCs w:val="20"/>
        </w:rPr>
        <w:t>cell</w:t>
      </w:r>
    </w:p>
    <w:p w14:paraId="4C37C2AF" w14:textId="77777777" w:rsidR="00B25203" w:rsidRPr="001B6A19" w:rsidRDefault="00B25203" w:rsidP="00212A7E">
      <w:pPr>
        <w:numPr>
          <w:ilvl w:val="3"/>
          <w:numId w:val="21"/>
        </w:numPr>
        <w:overflowPunct w:val="0"/>
        <w:autoSpaceDE w:val="0"/>
        <w:autoSpaceDN w:val="0"/>
        <w:adjustRightInd w:val="0"/>
        <w:spacing w:after="40" w:line="240" w:lineRule="auto"/>
        <w:textAlignment w:val="baseline"/>
        <w:rPr>
          <w:szCs w:val="20"/>
        </w:rPr>
      </w:pPr>
      <w:r w:rsidRPr="001B6A19">
        <w:rPr>
          <w:rFonts w:eastAsia="SimSun"/>
          <w:szCs w:val="20"/>
        </w:rPr>
        <w:t>O</w:t>
      </w:r>
      <w:r w:rsidRPr="001B6A19">
        <w:rPr>
          <w:rFonts w:eastAsia="SimSun" w:hint="eastAsia"/>
          <w:szCs w:val="20"/>
        </w:rPr>
        <w:t xml:space="preserve">ne DCI can contain one or more </w:t>
      </w:r>
      <w:r w:rsidRPr="001B6A19">
        <w:rPr>
          <w:rFonts w:eastAsia="SimSun"/>
          <w:szCs w:val="20"/>
        </w:rPr>
        <w:t>pre-emption</w:t>
      </w:r>
      <w:r w:rsidRPr="001B6A19">
        <w:rPr>
          <w:rFonts w:eastAsia="SimSun" w:hint="eastAsia"/>
          <w:szCs w:val="20"/>
        </w:rPr>
        <w:t xml:space="preserve"> indication field(s) corresponding one or more serving cells</w:t>
      </w:r>
    </w:p>
    <w:p w14:paraId="12349E0D" w14:textId="77777777" w:rsidR="00B25203" w:rsidRPr="001B6A19" w:rsidRDefault="00B25203" w:rsidP="00212A7E">
      <w:pPr>
        <w:numPr>
          <w:ilvl w:val="4"/>
          <w:numId w:val="21"/>
        </w:numPr>
        <w:overflowPunct w:val="0"/>
        <w:autoSpaceDE w:val="0"/>
        <w:autoSpaceDN w:val="0"/>
        <w:adjustRightInd w:val="0"/>
        <w:spacing w:after="40" w:line="240" w:lineRule="auto"/>
        <w:textAlignment w:val="baseline"/>
        <w:rPr>
          <w:szCs w:val="20"/>
        </w:rPr>
      </w:pPr>
      <w:r w:rsidRPr="001B6A19">
        <w:rPr>
          <w:rFonts w:eastAsia="SimSun"/>
          <w:szCs w:val="20"/>
        </w:rPr>
        <w:t>E</w:t>
      </w:r>
      <w:r w:rsidRPr="001B6A19">
        <w:rPr>
          <w:rFonts w:eastAsia="SimSun" w:hint="eastAsia"/>
          <w:szCs w:val="20"/>
        </w:rPr>
        <w:t xml:space="preserve">ach </w:t>
      </w:r>
      <w:r w:rsidRPr="001B6A19">
        <w:rPr>
          <w:rFonts w:eastAsia="SimSun"/>
          <w:szCs w:val="20"/>
        </w:rPr>
        <w:t xml:space="preserve">field </w:t>
      </w:r>
      <w:r w:rsidRPr="001B6A19">
        <w:rPr>
          <w:rFonts w:eastAsia="SimSun" w:hint="eastAsia"/>
          <w:szCs w:val="20"/>
        </w:rPr>
        <w:t>(14bits bitmap) for one serving cell</w:t>
      </w:r>
    </w:p>
    <w:p w14:paraId="07A01079" w14:textId="77777777" w:rsidR="00B25203" w:rsidRPr="001B6A19" w:rsidRDefault="00B25203" w:rsidP="00212A7E">
      <w:pPr>
        <w:numPr>
          <w:ilvl w:val="3"/>
          <w:numId w:val="21"/>
        </w:numPr>
        <w:overflowPunct w:val="0"/>
        <w:autoSpaceDE w:val="0"/>
        <w:autoSpaceDN w:val="0"/>
        <w:adjustRightInd w:val="0"/>
        <w:spacing w:after="40" w:line="240" w:lineRule="auto"/>
        <w:textAlignment w:val="baseline"/>
        <w:rPr>
          <w:szCs w:val="20"/>
        </w:rPr>
      </w:pPr>
      <w:r w:rsidRPr="001B6A19">
        <w:rPr>
          <w:rFonts w:eastAsia="SimSun" w:hint="eastAsia"/>
          <w:szCs w:val="20"/>
        </w:rPr>
        <w:t>RRC configures the PI field location in the DCI format that is applied to that cell</w:t>
      </w:r>
    </w:p>
    <w:p w14:paraId="58D26B35" w14:textId="77777777" w:rsidR="00B25203" w:rsidRPr="001B6A19" w:rsidRDefault="00B25203" w:rsidP="00212A7E">
      <w:pPr>
        <w:numPr>
          <w:ilvl w:val="0"/>
          <w:numId w:val="21"/>
        </w:numPr>
        <w:spacing w:after="40" w:line="240" w:lineRule="auto"/>
        <w:rPr>
          <w:rFonts w:eastAsia="SimSun"/>
          <w:szCs w:val="20"/>
        </w:rPr>
      </w:pPr>
      <w:r w:rsidRPr="001B6A19">
        <w:rPr>
          <w:rFonts w:eastAsia="SimSun"/>
          <w:szCs w:val="20"/>
        </w:rPr>
        <w:t>No concensus to support m</w:t>
      </w:r>
      <w:r w:rsidRPr="001B6A19">
        <w:rPr>
          <w:rFonts w:eastAsia="SimSun" w:hint="eastAsia"/>
          <w:szCs w:val="20"/>
        </w:rPr>
        <w:t xml:space="preserve">ini-slot level monitoring </w:t>
      </w:r>
      <w:r w:rsidRPr="001B6A19">
        <w:rPr>
          <w:rFonts w:eastAsia="SimSun"/>
          <w:szCs w:val="20"/>
        </w:rPr>
        <w:t>periodicity</w:t>
      </w:r>
      <w:r w:rsidRPr="001B6A19">
        <w:rPr>
          <w:rFonts w:eastAsia="SimSun" w:hint="eastAsia"/>
          <w:szCs w:val="20"/>
        </w:rPr>
        <w:t xml:space="preserve"> of preemption indication in </w:t>
      </w:r>
      <w:r w:rsidRPr="001B6A19">
        <w:rPr>
          <w:rFonts w:eastAsia="SimSun"/>
          <w:szCs w:val="20"/>
        </w:rPr>
        <w:t>RAN1#91</w:t>
      </w:r>
    </w:p>
    <w:p w14:paraId="5693861B" w14:textId="77777777" w:rsidR="00B25203" w:rsidRPr="001B6A19" w:rsidRDefault="00B25203" w:rsidP="00212A7E">
      <w:pPr>
        <w:numPr>
          <w:ilvl w:val="0"/>
          <w:numId w:val="21"/>
        </w:numPr>
        <w:spacing w:after="40" w:line="240" w:lineRule="auto"/>
        <w:rPr>
          <w:rFonts w:eastAsia="SimSun"/>
          <w:szCs w:val="20"/>
        </w:rPr>
      </w:pPr>
      <w:r w:rsidRPr="001B6A19">
        <w:rPr>
          <w:rFonts w:eastAsia="SimSun"/>
          <w:szCs w:val="20"/>
        </w:rPr>
        <w:t>C</w:t>
      </w:r>
      <w:r w:rsidRPr="001B6A19">
        <w:rPr>
          <w:rFonts w:eastAsia="SimSun" w:hint="eastAsia"/>
          <w:szCs w:val="20"/>
        </w:rPr>
        <w:t>onfirm the following working assumption in RAN1#90bis</w:t>
      </w:r>
    </w:p>
    <w:p w14:paraId="748C8AF4" w14:textId="77777777" w:rsidR="00B25203" w:rsidRPr="001B6A19" w:rsidRDefault="00B25203" w:rsidP="00212A7E">
      <w:pPr>
        <w:numPr>
          <w:ilvl w:val="1"/>
          <w:numId w:val="21"/>
        </w:numPr>
        <w:spacing w:after="40" w:line="240" w:lineRule="auto"/>
        <w:rPr>
          <w:rFonts w:eastAsia="SimSun"/>
          <w:szCs w:val="20"/>
        </w:rPr>
      </w:pPr>
      <w:r w:rsidRPr="001B6A19">
        <w:rPr>
          <w:rFonts w:eastAsia="SimSun" w:hint="eastAsia"/>
          <w:szCs w:val="20"/>
        </w:rPr>
        <w:t>T</w:t>
      </w:r>
      <w:r w:rsidRPr="001B6A19">
        <w:rPr>
          <w:szCs w:val="20"/>
        </w:rPr>
        <w:t>he frequency region of the reference downlink resource for pre-emption indication is the active DL BWP</w:t>
      </w:r>
    </w:p>
    <w:p w14:paraId="10280D0C" w14:textId="77777777" w:rsidR="00B25203" w:rsidRPr="001B6A19" w:rsidRDefault="00B25203" w:rsidP="00212A7E">
      <w:pPr>
        <w:numPr>
          <w:ilvl w:val="0"/>
          <w:numId w:val="21"/>
        </w:numPr>
        <w:spacing w:after="40" w:line="240" w:lineRule="auto"/>
        <w:rPr>
          <w:rFonts w:eastAsia="SimSun"/>
          <w:szCs w:val="20"/>
        </w:rPr>
      </w:pPr>
      <w:r w:rsidRPr="001B6A19">
        <w:rPr>
          <w:rFonts w:eastAsia="SimSun"/>
          <w:szCs w:val="20"/>
        </w:rPr>
        <w:t xml:space="preserve">Configuration of </w:t>
      </w:r>
      <w:r w:rsidRPr="001B6A19">
        <w:rPr>
          <w:rFonts w:eastAsia="SimSun" w:hint="eastAsia"/>
          <w:szCs w:val="20"/>
        </w:rPr>
        <w:t>UE monitoring of preemption indication is per DL BWP</w:t>
      </w:r>
    </w:p>
    <w:p w14:paraId="0A9FD027" w14:textId="77777777" w:rsidR="00B25203" w:rsidRPr="00CB57BC" w:rsidRDefault="00B25203" w:rsidP="00212A7E">
      <w:pPr>
        <w:pStyle w:val="ListParagraph"/>
        <w:numPr>
          <w:ilvl w:val="0"/>
          <w:numId w:val="31"/>
        </w:numPr>
        <w:spacing w:after="40" w:line="240" w:lineRule="auto"/>
        <w:ind w:leftChars="0"/>
        <w:rPr>
          <w:rFonts w:asciiTheme="minorHAnsi" w:hAnsiTheme="minorHAnsi"/>
          <w:szCs w:val="20"/>
        </w:rPr>
      </w:pPr>
      <w:r w:rsidRPr="00CB57BC">
        <w:rPr>
          <w:rFonts w:asciiTheme="minorHAnsi" w:hAnsiTheme="minorHAnsi"/>
          <w:szCs w:val="20"/>
        </w:rPr>
        <w:t>For the bitmap indication, the time-frequency blocks of the reference DL resource determined by {M, N} ({M, N}={14, 1}, {7, 2} ) are indexed in frequency first manner</w:t>
      </w:r>
    </w:p>
    <w:p w14:paraId="300118A6" w14:textId="77777777" w:rsidR="00B25203" w:rsidRPr="001B6A19" w:rsidRDefault="00B25203" w:rsidP="00212A7E">
      <w:pPr>
        <w:pStyle w:val="ListParagraph"/>
        <w:numPr>
          <w:ilvl w:val="1"/>
          <w:numId w:val="31"/>
        </w:numPr>
        <w:spacing w:after="40" w:line="240" w:lineRule="auto"/>
        <w:ind w:leftChars="0"/>
        <w:rPr>
          <w:rFonts w:asciiTheme="minorHAnsi" w:hAnsiTheme="minorHAnsi"/>
          <w:szCs w:val="20"/>
        </w:rPr>
      </w:pPr>
      <w:r w:rsidRPr="001B6A19">
        <w:rPr>
          <w:rFonts w:asciiTheme="minorHAnsi" w:hAnsiTheme="minorHAnsi"/>
          <w:szCs w:val="20"/>
        </w:rPr>
        <w:t xml:space="preserve">Note: The reference DL resource is partitioned with M time domain parts and N frequency domain parts. </w:t>
      </w:r>
    </w:p>
    <w:p w14:paraId="351B5FCA" w14:textId="77777777" w:rsidR="00B25203" w:rsidRPr="001B6A19" w:rsidRDefault="00B25203" w:rsidP="00212A7E">
      <w:pPr>
        <w:numPr>
          <w:ilvl w:val="1"/>
          <w:numId w:val="31"/>
        </w:numPr>
        <w:spacing w:after="40" w:line="240" w:lineRule="auto"/>
        <w:rPr>
          <w:szCs w:val="20"/>
        </w:rPr>
      </w:pPr>
      <w:r w:rsidRPr="001B6A19">
        <w:rPr>
          <w:szCs w:val="20"/>
        </w:rPr>
        <w:t>Note: Current TS38.213 needs to be updated according to the above agreement.</w:t>
      </w:r>
    </w:p>
    <w:p w14:paraId="79599CA4" w14:textId="77777777" w:rsidR="00B25203" w:rsidRPr="001B6A19" w:rsidRDefault="00B25203" w:rsidP="00212A7E">
      <w:pPr>
        <w:pStyle w:val="ListParagraph"/>
        <w:numPr>
          <w:ilvl w:val="0"/>
          <w:numId w:val="32"/>
        </w:numPr>
        <w:spacing w:after="40" w:line="240" w:lineRule="auto"/>
        <w:ind w:leftChars="0"/>
        <w:rPr>
          <w:rFonts w:asciiTheme="minorHAnsi" w:hAnsiTheme="minorHAnsi"/>
          <w:szCs w:val="20"/>
        </w:rPr>
      </w:pPr>
      <w:r w:rsidRPr="001B6A19">
        <w:rPr>
          <w:rFonts w:asciiTheme="minorHAnsi" w:hAnsiTheme="minorHAnsi"/>
          <w:szCs w:val="20"/>
        </w:rPr>
        <w:t>When a PI is detected, the time location of the corresponding reference DL resource (RDR) is determined by:</w:t>
      </w:r>
    </w:p>
    <w:p w14:paraId="7DDB447F" w14:textId="77777777" w:rsidR="00B25203" w:rsidRPr="001B6A19" w:rsidRDefault="00B25203" w:rsidP="00212A7E">
      <w:pPr>
        <w:pStyle w:val="ListParagraph"/>
        <w:numPr>
          <w:ilvl w:val="1"/>
          <w:numId w:val="32"/>
        </w:numPr>
        <w:spacing w:after="40" w:line="240" w:lineRule="auto"/>
        <w:ind w:leftChars="0"/>
        <w:rPr>
          <w:rFonts w:asciiTheme="minorHAnsi" w:hAnsiTheme="minorHAnsi"/>
          <w:szCs w:val="20"/>
        </w:rPr>
      </w:pPr>
      <w:r w:rsidRPr="001B6A19">
        <w:rPr>
          <w:rFonts w:asciiTheme="minorHAnsi" w:hAnsiTheme="minorHAnsi"/>
          <w:szCs w:val="20"/>
        </w:rPr>
        <w:t>The RDR starts at the 1</w:t>
      </w:r>
      <w:r w:rsidRPr="001B6A19">
        <w:rPr>
          <w:rFonts w:asciiTheme="minorHAnsi" w:hAnsiTheme="minorHAnsi"/>
          <w:szCs w:val="20"/>
          <w:vertAlign w:val="superscript"/>
        </w:rPr>
        <w:t>st</w:t>
      </w:r>
      <w:r w:rsidRPr="001B6A19">
        <w:rPr>
          <w:rFonts w:asciiTheme="minorHAnsi" w:hAnsiTheme="minorHAnsi"/>
          <w:szCs w:val="20"/>
        </w:rPr>
        <w:t xml:space="preserve"> symbol of the previous CORESET for PI monitoring and ends right before the current CORESET at which the PI is detected. </w:t>
      </w:r>
    </w:p>
    <w:p w14:paraId="33792AEF" w14:textId="14E63292" w:rsidR="00B25203" w:rsidRDefault="00B25203" w:rsidP="00212A7E">
      <w:pPr>
        <w:pStyle w:val="ListParagraph"/>
        <w:numPr>
          <w:ilvl w:val="0"/>
          <w:numId w:val="30"/>
        </w:numPr>
        <w:spacing w:after="40" w:line="240" w:lineRule="auto"/>
        <w:ind w:leftChars="0"/>
        <w:rPr>
          <w:rFonts w:asciiTheme="minorHAnsi" w:hAnsiTheme="minorHAnsi"/>
          <w:szCs w:val="20"/>
        </w:rPr>
      </w:pPr>
      <w:r w:rsidRPr="00CB57BC">
        <w:rPr>
          <w:rFonts w:asciiTheme="minorHAnsi" w:hAnsiTheme="minorHAnsi"/>
          <w:szCs w:val="20"/>
        </w:rPr>
        <w:t>The UE is not expected to take into account a PI detected in a BWP for a PDSCH scheduled in a different BWP of the same serving cell.</w:t>
      </w:r>
    </w:p>
    <w:p w14:paraId="5E2ED2E5" w14:textId="77777777" w:rsidR="00DD06D1" w:rsidRDefault="00DD06D1" w:rsidP="00212A7E">
      <w:pPr>
        <w:pStyle w:val="ListParagraph"/>
        <w:numPr>
          <w:ilvl w:val="0"/>
          <w:numId w:val="30"/>
        </w:numPr>
        <w:spacing w:after="40" w:line="240" w:lineRule="auto"/>
        <w:ind w:leftChars="0"/>
        <w:rPr>
          <w:rFonts w:asciiTheme="minorHAnsi" w:hAnsiTheme="minorHAnsi"/>
          <w:szCs w:val="20"/>
        </w:rPr>
      </w:pPr>
    </w:p>
    <w:p w14:paraId="67ED7ED0" w14:textId="3F35CA8E" w:rsidR="008A0576" w:rsidRPr="00C67AE5" w:rsidRDefault="00CC23F9" w:rsidP="00DD06D1">
      <w:pPr>
        <w:rPr>
          <w:szCs w:val="20"/>
          <w:highlight w:val="green"/>
          <w:lang w:eastAsia="x-none"/>
        </w:rPr>
      </w:pPr>
      <w:r w:rsidRPr="001B6A19">
        <w:t>RAN WG1 Meeting AH 1801</w:t>
      </w:r>
    </w:p>
    <w:p w14:paraId="0EFCFC8A" w14:textId="3EF569ED" w:rsidR="00DD06D1" w:rsidRPr="00CC23F9" w:rsidRDefault="00DD06D1" w:rsidP="00DD06D1">
      <w:pPr>
        <w:rPr>
          <w:szCs w:val="20"/>
          <w:lang w:eastAsia="x-none"/>
        </w:rPr>
      </w:pPr>
      <w:r w:rsidRPr="00CC23F9">
        <w:rPr>
          <w:szCs w:val="20"/>
          <w:highlight w:val="green"/>
          <w:lang w:eastAsia="x-none"/>
        </w:rPr>
        <w:lastRenderedPageBreak/>
        <w:t>Agreements</w:t>
      </w:r>
      <w:r w:rsidRPr="00CC23F9">
        <w:rPr>
          <w:szCs w:val="20"/>
          <w:lang w:eastAsia="x-none"/>
        </w:rPr>
        <w:t>:</w:t>
      </w:r>
    </w:p>
    <w:p w14:paraId="1A70F2C8" w14:textId="77777777" w:rsidR="00DD06D1" w:rsidRPr="00DD06D1" w:rsidRDefault="00DD06D1" w:rsidP="00DD06D1">
      <w:pPr>
        <w:pStyle w:val="Caption"/>
        <w:numPr>
          <w:ilvl w:val="0"/>
          <w:numId w:val="30"/>
        </w:numPr>
        <w:spacing w:before="120" w:after="120" w:line="240" w:lineRule="auto"/>
        <w:jc w:val="left"/>
        <w:rPr>
          <w:rFonts w:eastAsia="SimSun"/>
          <w:b w:val="0"/>
        </w:rPr>
      </w:pPr>
      <w:r w:rsidRPr="00DD06D1">
        <w:rPr>
          <w:rFonts w:eastAsia="SimSun"/>
          <w:b w:val="0"/>
        </w:rPr>
        <w:t>Support 4 as additional PI monitoring periodicity value as part of the RRC configuration for the UE</w:t>
      </w:r>
    </w:p>
    <w:p w14:paraId="7A1EA26B" w14:textId="77777777" w:rsidR="00DD06D1" w:rsidRPr="00DD06D1" w:rsidRDefault="00DD06D1" w:rsidP="00DD06D1">
      <w:pPr>
        <w:pStyle w:val="Caption"/>
        <w:numPr>
          <w:ilvl w:val="1"/>
          <w:numId w:val="30"/>
        </w:numPr>
        <w:spacing w:before="120" w:after="120" w:line="240" w:lineRule="auto"/>
        <w:jc w:val="left"/>
        <w:rPr>
          <w:rFonts w:eastAsia="SimSun"/>
          <w:b w:val="0"/>
        </w:rPr>
      </w:pPr>
      <w:r w:rsidRPr="00DD06D1">
        <w:rPr>
          <w:rFonts w:eastAsia="SimSun"/>
          <w:b w:val="0"/>
        </w:rPr>
        <w:t>No other additional values in Rel-15</w:t>
      </w:r>
    </w:p>
    <w:p w14:paraId="28517B67" w14:textId="77777777" w:rsidR="00DD06D1" w:rsidRPr="00CB57BC" w:rsidRDefault="00DD06D1" w:rsidP="00212A7E">
      <w:pPr>
        <w:pStyle w:val="ListParagraph"/>
        <w:numPr>
          <w:ilvl w:val="0"/>
          <w:numId w:val="30"/>
        </w:numPr>
        <w:spacing w:after="40" w:line="240" w:lineRule="auto"/>
        <w:ind w:leftChars="0"/>
        <w:rPr>
          <w:rFonts w:asciiTheme="minorHAnsi" w:hAnsiTheme="minorHAnsi"/>
          <w:szCs w:val="20"/>
        </w:rPr>
      </w:pPr>
    </w:p>
    <w:p w14:paraId="4A933541" w14:textId="45516E4E" w:rsidR="000828CF" w:rsidRPr="00CB57BC" w:rsidRDefault="000828CF" w:rsidP="00741A41">
      <w:pPr>
        <w:pStyle w:val="BodyText"/>
        <w:rPr>
          <w:rFonts w:cs="Arial"/>
        </w:rPr>
      </w:pPr>
    </w:p>
    <w:p w14:paraId="6FE2E53F" w14:textId="3BCA47F8" w:rsidR="004000E8" w:rsidRPr="00CE0424" w:rsidRDefault="00741A41" w:rsidP="00CE0424">
      <w:pPr>
        <w:pStyle w:val="Heading1"/>
      </w:pPr>
      <w:r>
        <w:t>Discussion</w:t>
      </w:r>
    </w:p>
    <w:p w14:paraId="4055B454" w14:textId="73921848" w:rsidR="00A61646" w:rsidRPr="001B6A19" w:rsidRDefault="00C601EB" w:rsidP="00CE0424">
      <w:pPr>
        <w:pStyle w:val="BodyText"/>
        <w:rPr>
          <w:rFonts w:eastAsia="MS Mincho"/>
          <w:iCs/>
          <w:lang w:eastAsia="ja-JP"/>
        </w:rPr>
      </w:pPr>
      <w:r w:rsidRPr="001B6A19">
        <w:t xml:space="preserve">Based on the plenty of agreements </w:t>
      </w:r>
      <w:r w:rsidR="00632D1E" w:rsidRPr="001B6A19">
        <w:t xml:space="preserve">in the last 3GPP meeting, </w:t>
      </w:r>
      <w:r w:rsidRPr="001B6A19">
        <w:t xml:space="preserve">we see two questions on </w:t>
      </w:r>
      <w:r w:rsidR="00841D16" w:rsidRPr="001B6A19">
        <w:t>pre-emption indication, which are summarized in subsection</w:t>
      </w:r>
      <w:r w:rsidRPr="001B6A19">
        <w:t>s</w:t>
      </w:r>
      <w:r w:rsidR="00841D16" w:rsidRPr="001B6A19">
        <w:t xml:space="preserve"> of this paper.</w:t>
      </w:r>
    </w:p>
    <w:p w14:paraId="4E4B16CE" w14:textId="1065AEFA" w:rsidR="008914E2" w:rsidRDefault="00A0771C" w:rsidP="008914E2">
      <w:pPr>
        <w:pStyle w:val="Heading2"/>
      </w:pPr>
      <w:r>
        <w:t>Monitoring periodicity</w:t>
      </w:r>
      <w:r w:rsidR="00C601EB">
        <w:t xml:space="preserve"> and RDR </w:t>
      </w:r>
      <w:r w:rsidR="00F94BA4">
        <w:t>partitioning</w:t>
      </w:r>
    </w:p>
    <w:p w14:paraId="05B4A30C" w14:textId="30C0C7DB" w:rsidR="00E827EB" w:rsidRPr="001B6A19" w:rsidRDefault="00E544D1" w:rsidP="000E0EFF">
      <w:pPr>
        <w:pStyle w:val="BodyText"/>
      </w:pPr>
      <w:r w:rsidRPr="001B6A19">
        <w:t xml:space="preserve">As it was agreed </w:t>
      </w:r>
      <w:r w:rsidR="00080D50" w:rsidRPr="001B6A19">
        <w:t>PI monitoring periodicity</w:t>
      </w:r>
      <w:r w:rsidR="001C7C47" w:rsidRPr="001B6A19">
        <w:t xml:space="preserve"> </w:t>
      </w:r>
      <w:r w:rsidR="00080D50" w:rsidRPr="001B6A19">
        <w:t xml:space="preserve">can be </w:t>
      </w:r>
      <w:r w:rsidR="00080D50" w:rsidRPr="001B6A19">
        <w:rPr>
          <w:rFonts w:eastAsia="SimSun" w:hint="eastAsia"/>
          <w:szCs w:val="20"/>
        </w:rPr>
        <w:t xml:space="preserve">1, 2, </w:t>
      </w:r>
      <w:r w:rsidR="00080D50" w:rsidRPr="001B6A19">
        <w:rPr>
          <w:rFonts w:eastAsia="SimSun"/>
          <w:szCs w:val="20"/>
        </w:rPr>
        <w:t>TBD1, TBD2</w:t>
      </w:r>
      <w:r w:rsidR="00080D50" w:rsidRPr="001B6A19">
        <w:rPr>
          <w:rFonts w:eastAsia="SimSun" w:hint="eastAsia"/>
          <w:szCs w:val="20"/>
        </w:rPr>
        <w:t xml:space="preserve"> slots</w:t>
      </w:r>
      <w:r w:rsidR="00080D50" w:rsidRPr="001B6A19">
        <w:t xml:space="preserve">. </w:t>
      </w:r>
      <w:r w:rsidR="004324FB" w:rsidRPr="001B6A19">
        <w:t xml:space="preserve">According to current agreements we can conclude that there is no need to introduce complex RDR </w:t>
      </w:r>
      <w:r w:rsidR="00F94BA4" w:rsidRPr="001B6A19">
        <w:t>partitioning</w:t>
      </w:r>
      <w:r w:rsidR="003B592E" w:rsidRPr="001B6A19">
        <w:t xml:space="preserve">. We </w:t>
      </w:r>
      <w:r w:rsidR="006E235F" w:rsidRPr="001B6A19">
        <w:t>prefer</w:t>
      </w:r>
      <w:r w:rsidR="00822F43" w:rsidRPr="001B6A19">
        <w:t xml:space="preserve"> even </w:t>
      </w:r>
      <w:r w:rsidR="00F94BA4" w:rsidRPr="001B6A19">
        <w:t xml:space="preserve">partitioning </w:t>
      </w:r>
      <w:r w:rsidR="00822F43" w:rsidRPr="001B6A19">
        <w:t>instead.</w:t>
      </w:r>
    </w:p>
    <w:p w14:paraId="4EF3DA97" w14:textId="6CC18871" w:rsidR="00145A88" w:rsidRPr="001B6A19" w:rsidRDefault="00CA4A3A" w:rsidP="00CA4A3A">
      <w:pPr>
        <w:pStyle w:val="BodyText"/>
      </w:pPr>
      <w:bookmarkStart w:id="2" w:name="_Ref503428690"/>
      <w:r w:rsidRPr="001B6A19">
        <w:rPr>
          <w:b/>
          <w:bCs/>
        </w:rPr>
        <w:t>Proposal 1:</w:t>
      </w:r>
      <w:r w:rsidRPr="001B6A19">
        <w:t xml:space="preserve"> </w:t>
      </w:r>
      <w:r w:rsidR="008D7C33" w:rsidRPr="001B6A19">
        <w:t xml:space="preserve">RDR should be evenly </w:t>
      </w:r>
      <w:r w:rsidR="00F94BA4" w:rsidRPr="001B6A19">
        <w:t xml:space="preserve">partitioned </w:t>
      </w:r>
      <w:r w:rsidR="008D7C33" w:rsidRPr="001B6A19">
        <w:t xml:space="preserve">in time. A </w:t>
      </w:r>
      <w:r w:rsidR="00F94BA4" w:rsidRPr="001B6A19">
        <w:t>partition</w:t>
      </w:r>
      <w:r w:rsidR="008D7C33" w:rsidRPr="001B6A19">
        <w:t xml:space="preserve"> size can be found as RDR size in OFDM-symbols divided by M value.</w:t>
      </w:r>
      <w:bookmarkEnd w:id="2"/>
    </w:p>
    <w:p w14:paraId="11BE536D" w14:textId="77777777" w:rsidR="003F264D" w:rsidRPr="001B6A19" w:rsidRDefault="003F264D" w:rsidP="000E0EFF">
      <w:pPr>
        <w:pStyle w:val="BodyText"/>
      </w:pPr>
    </w:p>
    <w:p w14:paraId="5E525963" w14:textId="7CEC5679" w:rsidR="003B592E" w:rsidRPr="004959D1" w:rsidRDefault="004324FB" w:rsidP="000E0EFF">
      <w:pPr>
        <w:pStyle w:val="BodyText"/>
      </w:pPr>
      <w:r w:rsidRPr="001B6A19">
        <w:t>In principle</w:t>
      </w:r>
      <w:r w:rsidR="00E827EB" w:rsidRPr="001B6A19">
        <w:t>,</w:t>
      </w:r>
      <w:r w:rsidRPr="001B6A19">
        <w:t xml:space="preserve"> </w:t>
      </w:r>
      <w:r w:rsidR="00E827EB" w:rsidRPr="001B6A19">
        <w:t>PI monitoring periodicity v</w:t>
      </w:r>
      <w:r w:rsidR="003675F6" w:rsidRPr="001B6A19">
        <w:t>alue</w:t>
      </w:r>
      <w:r w:rsidR="00E827EB" w:rsidRPr="001B6A19">
        <w:t xml:space="preserve"> can be upper bounded by HARQ </w:t>
      </w:r>
      <w:r w:rsidR="008D7C33" w:rsidRPr="001B6A19">
        <w:t>timeline</w:t>
      </w:r>
      <w:r w:rsidR="00CC265B" w:rsidRPr="001B6A19">
        <w:t xml:space="preserve"> </w:t>
      </w:r>
      <w:r w:rsidR="008D7C33" w:rsidRPr="001B6A19">
        <w:t>because after a while PI will not be useful</w:t>
      </w:r>
      <w:r w:rsidR="003675F6" w:rsidRPr="001B6A19">
        <w:t xml:space="preserve">. </w:t>
      </w:r>
      <w:r w:rsidR="003B592E" w:rsidRPr="001B6A19">
        <w:t xml:space="preserve">Then </w:t>
      </w:r>
      <w:r w:rsidR="008D7C33" w:rsidRPr="001B6A19">
        <w:t>most interesting</w:t>
      </w:r>
      <w:r w:rsidR="003B592E" w:rsidRPr="001B6A19">
        <w:t xml:space="preserve"> resolution values can be picked up from the list of candidate values. </w:t>
      </w:r>
      <w:r w:rsidR="003B592E" w:rsidRPr="004959D1">
        <w:t>Let’s summarize PI monitoring values in Table 1.</w:t>
      </w:r>
    </w:p>
    <w:p w14:paraId="679E1803" w14:textId="77777777" w:rsidR="003B592E" w:rsidRPr="004959D1" w:rsidRDefault="003B592E" w:rsidP="000E0EFF">
      <w:pPr>
        <w:pStyle w:val="BodyText"/>
      </w:pPr>
    </w:p>
    <w:p w14:paraId="60204494" w14:textId="6B70A819" w:rsidR="000E0EFF" w:rsidRPr="004959D1" w:rsidRDefault="003B592E" w:rsidP="000E0EFF">
      <w:pPr>
        <w:pStyle w:val="BodyText"/>
      </w:pPr>
      <w:r w:rsidRPr="004959D1">
        <w:t xml:space="preserve">Table 1. RDR </w:t>
      </w:r>
      <w:r w:rsidR="00D05F66" w:rsidRPr="004959D1">
        <w:t>characteristics</w:t>
      </w:r>
      <w:r w:rsidRPr="004959D1">
        <w:t xml:space="preserve"> </w:t>
      </w:r>
      <w:r w:rsidR="00D05F66" w:rsidRPr="004959D1">
        <w:t>at</w:t>
      </w:r>
      <w:r w:rsidRPr="004959D1">
        <w:t xml:space="preserve"> different PI monitoring periodicity values.</w:t>
      </w:r>
    </w:p>
    <w:tbl>
      <w:tblPr>
        <w:tblStyle w:val="TableGrid"/>
        <w:tblW w:w="0" w:type="auto"/>
        <w:tblLook w:val="04A0" w:firstRow="1" w:lastRow="0" w:firstColumn="1" w:lastColumn="0" w:noHBand="0" w:noVBand="1"/>
      </w:tblPr>
      <w:tblGrid>
        <w:gridCol w:w="1604"/>
        <w:gridCol w:w="1605"/>
        <w:gridCol w:w="1605"/>
        <w:gridCol w:w="1605"/>
        <w:gridCol w:w="1605"/>
      </w:tblGrid>
      <w:tr w:rsidR="00E827EB" w14:paraId="2B5CF608" w14:textId="77777777" w:rsidTr="00867DA9">
        <w:tc>
          <w:tcPr>
            <w:tcW w:w="1604" w:type="dxa"/>
          </w:tcPr>
          <w:p w14:paraId="432535AE" w14:textId="47F5E4A2" w:rsidR="00E827EB" w:rsidRPr="004959D1" w:rsidRDefault="00E827EB" w:rsidP="00080D50">
            <w:pPr>
              <w:pStyle w:val="BodyText"/>
              <w:spacing w:after="0" w:line="240" w:lineRule="auto"/>
            </w:pPr>
          </w:p>
        </w:tc>
        <w:tc>
          <w:tcPr>
            <w:tcW w:w="1605" w:type="dxa"/>
          </w:tcPr>
          <w:p w14:paraId="6D872570" w14:textId="77777777" w:rsidR="00E827EB" w:rsidRDefault="00E827EB" w:rsidP="00080D50">
            <w:pPr>
              <w:pStyle w:val="BodyText"/>
              <w:spacing w:after="0" w:line="240" w:lineRule="auto"/>
            </w:pPr>
            <w:r>
              <w:t>PI periodicity</w:t>
            </w:r>
          </w:p>
          <w:p w14:paraId="05892390" w14:textId="59D56DEA" w:rsidR="00E827EB" w:rsidRDefault="00E827EB" w:rsidP="00080D50">
            <w:pPr>
              <w:pStyle w:val="BodyText"/>
              <w:spacing w:after="0" w:line="240" w:lineRule="auto"/>
            </w:pPr>
            <w:r>
              <w:t>[slots]</w:t>
            </w:r>
          </w:p>
        </w:tc>
        <w:tc>
          <w:tcPr>
            <w:tcW w:w="1605" w:type="dxa"/>
          </w:tcPr>
          <w:p w14:paraId="2E935264" w14:textId="09C2A239" w:rsidR="00E827EB" w:rsidRDefault="00E827EB" w:rsidP="00080D50">
            <w:pPr>
              <w:pStyle w:val="BodyText"/>
              <w:spacing w:after="0" w:line="240" w:lineRule="auto"/>
            </w:pPr>
            <w:r>
              <w:t>RDR size [os]</w:t>
            </w:r>
          </w:p>
        </w:tc>
        <w:tc>
          <w:tcPr>
            <w:tcW w:w="1605" w:type="dxa"/>
          </w:tcPr>
          <w:p w14:paraId="79260C7F" w14:textId="1C70CDC9" w:rsidR="00E827EB" w:rsidRDefault="00E827EB" w:rsidP="00080D50">
            <w:pPr>
              <w:pStyle w:val="BodyText"/>
              <w:spacing w:after="0" w:line="240" w:lineRule="auto"/>
            </w:pPr>
            <w:r>
              <w:t>M, N</w:t>
            </w:r>
          </w:p>
        </w:tc>
        <w:tc>
          <w:tcPr>
            <w:tcW w:w="1605" w:type="dxa"/>
          </w:tcPr>
          <w:p w14:paraId="43BA6563" w14:textId="4E46566D" w:rsidR="00E827EB" w:rsidRDefault="00E827EB" w:rsidP="00080D50">
            <w:pPr>
              <w:pStyle w:val="BodyText"/>
              <w:spacing w:after="0" w:line="240" w:lineRule="auto"/>
            </w:pPr>
            <w:r>
              <w:t>Time resolution [os]</w:t>
            </w:r>
          </w:p>
        </w:tc>
      </w:tr>
      <w:tr w:rsidR="00C31E20" w14:paraId="1EA7B215" w14:textId="77777777" w:rsidTr="00867DA9">
        <w:tc>
          <w:tcPr>
            <w:tcW w:w="1604" w:type="dxa"/>
            <w:vMerge w:val="restart"/>
          </w:tcPr>
          <w:p w14:paraId="28575218" w14:textId="10CBE660" w:rsidR="00C31E20" w:rsidRDefault="00C31E20" w:rsidP="00080D50">
            <w:pPr>
              <w:pStyle w:val="BodyText"/>
              <w:spacing w:after="0" w:line="240" w:lineRule="auto"/>
            </w:pPr>
            <w:r>
              <w:t>Agreed values</w:t>
            </w:r>
          </w:p>
        </w:tc>
        <w:tc>
          <w:tcPr>
            <w:tcW w:w="1605" w:type="dxa"/>
          </w:tcPr>
          <w:p w14:paraId="38F53D9C" w14:textId="71AA86C1" w:rsidR="00C31E20" w:rsidRDefault="00C31E20" w:rsidP="00080D50">
            <w:pPr>
              <w:pStyle w:val="BodyText"/>
              <w:spacing w:after="0" w:line="240" w:lineRule="auto"/>
            </w:pPr>
            <w:r>
              <w:t>1</w:t>
            </w:r>
          </w:p>
        </w:tc>
        <w:tc>
          <w:tcPr>
            <w:tcW w:w="1605" w:type="dxa"/>
          </w:tcPr>
          <w:p w14:paraId="63227054" w14:textId="23F65F49" w:rsidR="00C31E20" w:rsidRDefault="00C31E20" w:rsidP="00080D50">
            <w:pPr>
              <w:pStyle w:val="BodyText"/>
              <w:spacing w:after="0" w:line="240" w:lineRule="auto"/>
              <w:rPr>
                <w:szCs w:val="20"/>
              </w:rPr>
            </w:pPr>
            <w:r>
              <w:rPr>
                <w:szCs w:val="20"/>
              </w:rPr>
              <w:t>14</w:t>
            </w:r>
          </w:p>
        </w:tc>
        <w:tc>
          <w:tcPr>
            <w:tcW w:w="1605" w:type="dxa"/>
          </w:tcPr>
          <w:p w14:paraId="47DAEDB7" w14:textId="2F22BFBD" w:rsidR="00C31E20" w:rsidRDefault="00C31E20" w:rsidP="00080D50">
            <w:pPr>
              <w:pStyle w:val="BodyText"/>
              <w:spacing w:after="0" w:line="240" w:lineRule="auto"/>
              <w:rPr>
                <w:szCs w:val="20"/>
              </w:rPr>
            </w:pPr>
            <w:r>
              <w:rPr>
                <w:szCs w:val="20"/>
              </w:rPr>
              <w:t>{14, 1}</w:t>
            </w:r>
          </w:p>
          <w:p w14:paraId="334949D0" w14:textId="16C2BD0A" w:rsidR="00C31E20" w:rsidRDefault="00C31E20" w:rsidP="00080D50">
            <w:pPr>
              <w:pStyle w:val="BodyText"/>
              <w:spacing w:after="0" w:line="240" w:lineRule="auto"/>
            </w:pPr>
            <w:r w:rsidRPr="00212A7E">
              <w:rPr>
                <w:szCs w:val="20"/>
              </w:rPr>
              <w:t>{7, 2}</w:t>
            </w:r>
          </w:p>
        </w:tc>
        <w:tc>
          <w:tcPr>
            <w:tcW w:w="1605" w:type="dxa"/>
          </w:tcPr>
          <w:p w14:paraId="0AECF318" w14:textId="77777777" w:rsidR="00C31E20" w:rsidRDefault="00C31E20" w:rsidP="00080D50">
            <w:pPr>
              <w:pStyle w:val="BodyText"/>
              <w:spacing w:after="0" w:line="240" w:lineRule="auto"/>
            </w:pPr>
            <w:r>
              <w:t>1</w:t>
            </w:r>
          </w:p>
          <w:p w14:paraId="1DA1769F" w14:textId="26533ECA" w:rsidR="00C31E20" w:rsidRDefault="00C31E20" w:rsidP="00080D50">
            <w:pPr>
              <w:pStyle w:val="BodyText"/>
              <w:spacing w:after="0" w:line="240" w:lineRule="auto"/>
            </w:pPr>
            <w:r>
              <w:t>2</w:t>
            </w:r>
          </w:p>
        </w:tc>
      </w:tr>
      <w:tr w:rsidR="00C31E20" w14:paraId="689F3A7E" w14:textId="77777777" w:rsidTr="00867DA9">
        <w:tc>
          <w:tcPr>
            <w:tcW w:w="1604" w:type="dxa"/>
            <w:vMerge/>
          </w:tcPr>
          <w:p w14:paraId="76D6F121" w14:textId="77777777" w:rsidR="00C31E20" w:rsidRDefault="00C31E20" w:rsidP="00080D50">
            <w:pPr>
              <w:pStyle w:val="BodyText"/>
              <w:spacing w:after="0" w:line="240" w:lineRule="auto"/>
            </w:pPr>
          </w:p>
        </w:tc>
        <w:tc>
          <w:tcPr>
            <w:tcW w:w="1605" w:type="dxa"/>
          </w:tcPr>
          <w:p w14:paraId="2EED73E1" w14:textId="2D0D1A5F" w:rsidR="00C31E20" w:rsidRDefault="00C31E20" w:rsidP="00080D50">
            <w:pPr>
              <w:pStyle w:val="BodyText"/>
              <w:spacing w:after="0" w:line="240" w:lineRule="auto"/>
            </w:pPr>
            <w:r>
              <w:t>2</w:t>
            </w:r>
          </w:p>
        </w:tc>
        <w:tc>
          <w:tcPr>
            <w:tcW w:w="1605" w:type="dxa"/>
          </w:tcPr>
          <w:p w14:paraId="61E9FCB2" w14:textId="36C423AA" w:rsidR="00C31E20" w:rsidRDefault="00C31E20" w:rsidP="00080D50">
            <w:pPr>
              <w:pStyle w:val="BodyText"/>
              <w:spacing w:after="0" w:line="240" w:lineRule="auto"/>
              <w:rPr>
                <w:szCs w:val="20"/>
              </w:rPr>
            </w:pPr>
            <w:r>
              <w:rPr>
                <w:szCs w:val="20"/>
              </w:rPr>
              <w:t>28</w:t>
            </w:r>
          </w:p>
        </w:tc>
        <w:tc>
          <w:tcPr>
            <w:tcW w:w="1605" w:type="dxa"/>
          </w:tcPr>
          <w:p w14:paraId="4DD70381" w14:textId="3073B4C0" w:rsidR="00C31E20" w:rsidRDefault="00C31E20" w:rsidP="00080D50">
            <w:pPr>
              <w:pStyle w:val="BodyText"/>
              <w:spacing w:after="0" w:line="240" w:lineRule="auto"/>
              <w:rPr>
                <w:szCs w:val="20"/>
              </w:rPr>
            </w:pPr>
            <w:r>
              <w:rPr>
                <w:szCs w:val="20"/>
              </w:rPr>
              <w:t>{14, 1}</w:t>
            </w:r>
          </w:p>
          <w:p w14:paraId="66834000" w14:textId="4CAE5211" w:rsidR="00C31E20" w:rsidRDefault="00C31E20" w:rsidP="00080D50">
            <w:pPr>
              <w:pStyle w:val="BodyText"/>
              <w:spacing w:after="0" w:line="240" w:lineRule="auto"/>
            </w:pPr>
            <w:r w:rsidRPr="00212A7E">
              <w:rPr>
                <w:szCs w:val="20"/>
              </w:rPr>
              <w:t>{7, 2}</w:t>
            </w:r>
          </w:p>
        </w:tc>
        <w:tc>
          <w:tcPr>
            <w:tcW w:w="1605" w:type="dxa"/>
          </w:tcPr>
          <w:p w14:paraId="246CA083" w14:textId="77777777" w:rsidR="00C31E20" w:rsidRDefault="00C31E20" w:rsidP="00080D50">
            <w:pPr>
              <w:pStyle w:val="BodyText"/>
              <w:spacing w:after="0" w:line="240" w:lineRule="auto"/>
            </w:pPr>
            <w:r>
              <w:t>2</w:t>
            </w:r>
          </w:p>
          <w:p w14:paraId="543B21DB" w14:textId="5B5AB15E" w:rsidR="00C31E20" w:rsidRDefault="00C31E20" w:rsidP="00080D50">
            <w:pPr>
              <w:pStyle w:val="BodyText"/>
              <w:spacing w:after="0" w:line="240" w:lineRule="auto"/>
            </w:pPr>
            <w:r>
              <w:t>4</w:t>
            </w:r>
          </w:p>
        </w:tc>
      </w:tr>
      <w:tr w:rsidR="00C31E20" w14:paraId="4F35BB5B" w14:textId="77777777" w:rsidTr="00867DA9">
        <w:tc>
          <w:tcPr>
            <w:tcW w:w="1604" w:type="dxa"/>
            <w:vMerge/>
          </w:tcPr>
          <w:p w14:paraId="6A33332E" w14:textId="77777777" w:rsidR="00C31E20" w:rsidRDefault="00C31E20" w:rsidP="00080D50">
            <w:pPr>
              <w:pStyle w:val="BodyText"/>
              <w:spacing w:after="0" w:line="240" w:lineRule="auto"/>
            </w:pPr>
          </w:p>
        </w:tc>
        <w:tc>
          <w:tcPr>
            <w:tcW w:w="1605" w:type="dxa"/>
          </w:tcPr>
          <w:p w14:paraId="493F6A6A" w14:textId="2E484810" w:rsidR="00C31E20" w:rsidRDefault="00C31E20" w:rsidP="00080D50">
            <w:pPr>
              <w:pStyle w:val="BodyText"/>
              <w:spacing w:after="0" w:line="240" w:lineRule="auto"/>
            </w:pPr>
            <w:r>
              <w:t>4</w:t>
            </w:r>
          </w:p>
        </w:tc>
        <w:tc>
          <w:tcPr>
            <w:tcW w:w="1605" w:type="dxa"/>
          </w:tcPr>
          <w:p w14:paraId="20E24445" w14:textId="75C7BA1E" w:rsidR="00C31E20" w:rsidRDefault="00C31E20" w:rsidP="00080D50">
            <w:pPr>
              <w:pStyle w:val="BodyText"/>
              <w:spacing w:after="0" w:line="240" w:lineRule="auto"/>
              <w:rPr>
                <w:szCs w:val="20"/>
              </w:rPr>
            </w:pPr>
            <w:r>
              <w:rPr>
                <w:szCs w:val="20"/>
              </w:rPr>
              <w:t>56</w:t>
            </w:r>
          </w:p>
        </w:tc>
        <w:tc>
          <w:tcPr>
            <w:tcW w:w="1605" w:type="dxa"/>
          </w:tcPr>
          <w:p w14:paraId="089FCF3D" w14:textId="77777777" w:rsidR="00C31E20" w:rsidRDefault="00C31E20" w:rsidP="00C31E20">
            <w:pPr>
              <w:pStyle w:val="BodyText"/>
              <w:spacing w:after="0" w:line="240" w:lineRule="auto"/>
              <w:rPr>
                <w:szCs w:val="20"/>
              </w:rPr>
            </w:pPr>
            <w:r>
              <w:rPr>
                <w:szCs w:val="20"/>
              </w:rPr>
              <w:t>{14, 1}</w:t>
            </w:r>
          </w:p>
          <w:p w14:paraId="2361C3CA" w14:textId="75DDFA4C" w:rsidR="00C31E20" w:rsidRDefault="00C31E20" w:rsidP="00C31E20">
            <w:pPr>
              <w:pStyle w:val="BodyText"/>
              <w:spacing w:after="0" w:line="240" w:lineRule="auto"/>
              <w:rPr>
                <w:szCs w:val="20"/>
              </w:rPr>
            </w:pPr>
            <w:r w:rsidRPr="00212A7E">
              <w:rPr>
                <w:szCs w:val="20"/>
              </w:rPr>
              <w:t>{7, 2}</w:t>
            </w:r>
          </w:p>
        </w:tc>
        <w:tc>
          <w:tcPr>
            <w:tcW w:w="1605" w:type="dxa"/>
          </w:tcPr>
          <w:p w14:paraId="1C9B708A" w14:textId="77777777" w:rsidR="00C31E20" w:rsidRDefault="00C31E20" w:rsidP="00C31E20">
            <w:pPr>
              <w:pStyle w:val="BodyText"/>
              <w:spacing w:after="0" w:line="240" w:lineRule="auto"/>
            </w:pPr>
            <w:r>
              <w:t>4</w:t>
            </w:r>
          </w:p>
          <w:p w14:paraId="78A0E31D" w14:textId="12391535" w:rsidR="00C31E20" w:rsidRDefault="00C31E20" w:rsidP="00C31E20">
            <w:pPr>
              <w:pStyle w:val="BodyText"/>
              <w:spacing w:after="0" w:line="240" w:lineRule="auto"/>
            </w:pPr>
            <w:r>
              <w:t>8</w:t>
            </w:r>
          </w:p>
        </w:tc>
      </w:tr>
      <w:tr w:rsidR="00BB2E21" w14:paraId="400E2F99" w14:textId="77777777" w:rsidTr="00867DA9">
        <w:tc>
          <w:tcPr>
            <w:tcW w:w="1604" w:type="dxa"/>
            <w:vMerge w:val="restart"/>
          </w:tcPr>
          <w:p w14:paraId="62ACBDEF" w14:textId="0A8D0656" w:rsidR="00BB2E21" w:rsidRPr="001B6A19" w:rsidRDefault="00BB2E21" w:rsidP="00080D50">
            <w:pPr>
              <w:pStyle w:val="BodyText"/>
              <w:spacing w:after="0" w:line="240" w:lineRule="auto"/>
            </w:pPr>
            <w:r w:rsidRPr="001B6A19">
              <w:t>Options for TBD1</w:t>
            </w:r>
          </w:p>
        </w:tc>
        <w:tc>
          <w:tcPr>
            <w:tcW w:w="1605" w:type="dxa"/>
          </w:tcPr>
          <w:p w14:paraId="17FF5D1B" w14:textId="2EFC8CC7" w:rsidR="00BB2E21" w:rsidRDefault="00BB2E21" w:rsidP="00080D50">
            <w:pPr>
              <w:pStyle w:val="BodyText"/>
              <w:spacing w:after="0" w:line="240" w:lineRule="auto"/>
            </w:pPr>
            <w:r>
              <w:t>3</w:t>
            </w:r>
          </w:p>
        </w:tc>
        <w:tc>
          <w:tcPr>
            <w:tcW w:w="1605" w:type="dxa"/>
          </w:tcPr>
          <w:p w14:paraId="3C659807" w14:textId="5917AF3F" w:rsidR="00BB2E21" w:rsidRDefault="00BB2E21" w:rsidP="00080D50">
            <w:pPr>
              <w:pStyle w:val="BodyText"/>
              <w:spacing w:after="0" w:line="240" w:lineRule="auto"/>
              <w:rPr>
                <w:szCs w:val="20"/>
              </w:rPr>
            </w:pPr>
            <w:r>
              <w:rPr>
                <w:szCs w:val="20"/>
              </w:rPr>
              <w:t>42</w:t>
            </w:r>
          </w:p>
        </w:tc>
        <w:tc>
          <w:tcPr>
            <w:tcW w:w="1605" w:type="dxa"/>
          </w:tcPr>
          <w:p w14:paraId="5F18E98B" w14:textId="6C9572E4" w:rsidR="00BB2E21" w:rsidRDefault="00BB2E21" w:rsidP="00080D50">
            <w:pPr>
              <w:pStyle w:val="BodyText"/>
              <w:spacing w:after="0" w:line="240" w:lineRule="auto"/>
              <w:rPr>
                <w:szCs w:val="20"/>
              </w:rPr>
            </w:pPr>
            <w:r>
              <w:rPr>
                <w:szCs w:val="20"/>
              </w:rPr>
              <w:t>{14, 1}</w:t>
            </w:r>
          </w:p>
          <w:p w14:paraId="3AA3A223" w14:textId="59C45E80" w:rsidR="00BB2E21" w:rsidRDefault="00BB2E21" w:rsidP="00080D50">
            <w:pPr>
              <w:pStyle w:val="BodyText"/>
              <w:spacing w:after="0" w:line="240" w:lineRule="auto"/>
            </w:pPr>
            <w:r w:rsidRPr="00212A7E">
              <w:rPr>
                <w:szCs w:val="20"/>
              </w:rPr>
              <w:t>{7, 2}</w:t>
            </w:r>
          </w:p>
        </w:tc>
        <w:tc>
          <w:tcPr>
            <w:tcW w:w="1605" w:type="dxa"/>
          </w:tcPr>
          <w:p w14:paraId="5D887E90" w14:textId="77777777" w:rsidR="00BB2E21" w:rsidRDefault="00BB2E21" w:rsidP="00080D50">
            <w:pPr>
              <w:pStyle w:val="BodyText"/>
              <w:spacing w:after="0" w:line="240" w:lineRule="auto"/>
            </w:pPr>
            <w:r>
              <w:t>3</w:t>
            </w:r>
          </w:p>
          <w:p w14:paraId="328FDD93" w14:textId="65949914" w:rsidR="00BB2E21" w:rsidRDefault="00BB2E21" w:rsidP="00080D50">
            <w:pPr>
              <w:pStyle w:val="BodyText"/>
              <w:spacing w:after="0" w:line="240" w:lineRule="auto"/>
            </w:pPr>
            <w:r>
              <w:t>6</w:t>
            </w:r>
          </w:p>
        </w:tc>
      </w:tr>
      <w:tr w:rsidR="00BB2E21" w14:paraId="0F2162A5" w14:textId="77777777" w:rsidTr="00867DA9">
        <w:tc>
          <w:tcPr>
            <w:tcW w:w="1604" w:type="dxa"/>
            <w:vMerge/>
          </w:tcPr>
          <w:p w14:paraId="343404D9" w14:textId="086E8FFC" w:rsidR="00BB2E21" w:rsidRDefault="00BB2E21" w:rsidP="004324FB">
            <w:pPr>
              <w:pStyle w:val="BodyText"/>
              <w:spacing w:after="0" w:line="240" w:lineRule="auto"/>
            </w:pPr>
          </w:p>
        </w:tc>
        <w:tc>
          <w:tcPr>
            <w:tcW w:w="1605" w:type="dxa"/>
          </w:tcPr>
          <w:p w14:paraId="4AAAD18C" w14:textId="37C5766D" w:rsidR="00BB2E21" w:rsidRDefault="00BB2E21" w:rsidP="004324FB">
            <w:pPr>
              <w:pStyle w:val="BodyText"/>
              <w:spacing w:after="0" w:line="240" w:lineRule="auto"/>
            </w:pPr>
            <w:r>
              <w:t>5</w:t>
            </w:r>
          </w:p>
        </w:tc>
        <w:tc>
          <w:tcPr>
            <w:tcW w:w="1605" w:type="dxa"/>
          </w:tcPr>
          <w:p w14:paraId="0107D35F" w14:textId="565A3166" w:rsidR="00BB2E21" w:rsidRDefault="00BB2E21" w:rsidP="004324FB">
            <w:pPr>
              <w:pStyle w:val="BodyText"/>
              <w:spacing w:after="0" w:line="240" w:lineRule="auto"/>
              <w:rPr>
                <w:szCs w:val="20"/>
              </w:rPr>
            </w:pPr>
            <w:r>
              <w:rPr>
                <w:szCs w:val="20"/>
              </w:rPr>
              <w:t>70</w:t>
            </w:r>
          </w:p>
        </w:tc>
        <w:tc>
          <w:tcPr>
            <w:tcW w:w="1605" w:type="dxa"/>
          </w:tcPr>
          <w:p w14:paraId="4CB18BDC" w14:textId="28CAA424" w:rsidR="00BB2E21" w:rsidRDefault="00BB2E21" w:rsidP="004324FB">
            <w:pPr>
              <w:pStyle w:val="BodyText"/>
              <w:spacing w:after="0" w:line="240" w:lineRule="auto"/>
              <w:rPr>
                <w:szCs w:val="20"/>
              </w:rPr>
            </w:pPr>
            <w:r>
              <w:rPr>
                <w:szCs w:val="20"/>
              </w:rPr>
              <w:t>{14, 1}</w:t>
            </w:r>
          </w:p>
          <w:p w14:paraId="1635C419" w14:textId="524F496B" w:rsidR="00BB2E21" w:rsidRPr="004324FB" w:rsidRDefault="00BB2E21" w:rsidP="004324FB">
            <w:pPr>
              <w:pStyle w:val="BodyText"/>
              <w:spacing w:after="0" w:line="240" w:lineRule="auto"/>
              <w:rPr>
                <w:b/>
              </w:rPr>
            </w:pPr>
            <w:r w:rsidRPr="00212A7E">
              <w:rPr>
                <w:szCs w:val="20"/>
              </w:rPr>
              <w:t>{7, 2}</w:t>
            </w:r>
          </w:p>
        </w:tc>
        <w:tc>
          <w:tcPr>
            <w:tcW w:w="1605" w:type="dxa"/>
          </w:tcPr>
          <w:p w14:paraId="55C4170C" w14:textId="77777777" w:rsidR="00BB2E21" w:rsidRDefault="00BB2E21" w:rsidP="004324FB">
            <w:pPr>
              <w:pStyle w:val="BodyText"/>
              <w:spacing w:after="0" w:line="240" w:lineRule="auto"/>
            </w:pPr>
            <w:r>
              <w:t>5</w:t>
            </w:r>
          </w:p>
          <w:p w14:paraId="27B0BD90" w14:textId="6B97DFCF" w:rsidR="00BB2E21" w:rsidRDefault="00BB2E21" w:rsidP="004324FB">
            <w:pPr>
              <w:pStyle w:val="BodyText"/>
              <w:spacing w:after="0" w:line="240" w:lineRule="auto"/>
            </w:pPr>
            <w:r>
              <w:t>10</w:t>
            </w:r>
          </w:p>
        </w:tc>
      </w:tr>
      <w:tr w:rsidR="00BB2E21" w14:paraId="72AD155F" w14:textId="77777777" w:rsidTr="00867DA9">
        <w:tc>
          <w:tcPr>
            <w:tcW w:w="1604" w:type="dxa"/>
            <w:vMerge/>
          </w:tcPr>
          <w:p w14:paraId="0ED218BB" w14:textId="77777777" w:rsidR="00BB2E21" w:rsidRDefault="00BB2E21" w:rsidP="004324FB">
            <w:pPr>
              <w:pStyle w:val="BodyText"/>
              <w:spacing w:after="0" w:line="240" w:lineRule="auto"/>
            </w:pPr>
          </w:p>
        </w:tc>
        <w:tc>
          <w:tcPr>
            <w:tcW w:w="1605" w:type="dxa"/>
          </w:tcPr>
          <w:p w14:paraId="2D0B67AC" w14:textId="69DA4763" w:rsidR="00BB2E21" w:rsidRDefault="00BB2E21" w:rsidP="004324FB">
            <w:pPr>
              <w:pStyle w:val="BodyText"/>
              <w:spacing w:after="0" w:line="240" w:lineRule="auto"/>
            </w:pPr>
            <w:r>
              <w:t>6</w:t>
            </w:r>
          </w:p>
        </w:tc>
        <w:tc>
          <w:tcPr>
            <w:tcW w:w="1605" w:type="dxa"/>
          </w:tcPr>
          <w:p w14:paraId="21F255F5" w14:textId="27AF1C4C" w:rsidR="00BB2E21" w:rsidRDefault="00BB2E21" w:rsidP="004324FB">
            <w:pPr>
              <w:pStyle w:val="BodyText"/>
              <w:spacing w:after="0" w:line="240" w:lineRule="auto"/>
              <w:rPr>
                <w:szCs w:val="20"/>
              </w:rPr>
            </w:pPr>
            <w:r>
              <w:rPr>
                <w:szCs w:val="20"/>
              </w:rPr>
              <w:t>84</w:t>
            </w:r>
          </w:p>
        </w:tc>
        <w:tc>
          <w:tcPr>
            <w:tcW w:w="1605" w:type="dxa"/>
          </w:tcPr>
          <w:p w14:paraId="13C45242" w14:textId="6796DEE8" w:rsidR="00BB2E21" w:rsidRDefault="00BB2E21" w:rsidP="004324FB">
            <w:pPr>
              <w:pStyle w:val="BodyText"/>
              <w:spacing w:after="0" w:line="240" w:lineRule="auto"/>
              <w:rPr>
                <w:szCs w:val="20"/>
              </w:rPr>
            </w:pPr>
            <w:r>
              <w:rPr>
                <w:szCs w:val="20"/>
              </w:rPr>
              <w:t>{14, 1}</w:t>
            </w:r>
          </w:p>
          <w:p w14:paraId="2994EBA1" w14:textId="6D9461E6" w:rsidR="00BB2E21" w:rsidRDefault="00BB2E21" w:rsidP="004324FB">
            <w:pPr>
              <w:pStyle w:val="BodyText"/>
              <w:spacing w:after="0" w:line="240" w:lineRule="auto"/>
            </w:pPr>
            <w:r w:rsidRPr="00212A7E">
              <w:rPr>
                <w:szCs w:val="20"/>
              </w:rPr>
              <w:t>{7, 2}</w:t>
            </w:r>
          </w:p>
        </w:tc>
        <w:tc>
          <w:tcPr>
            <w:tcW w:w="1605" w:type="dxa"/>
          </w:tcPr>
          <w:p w14:paraId="5D566DFD" w14:textId="77777777" w:rsidR="00BB2E21" w:rsidRDefault="00BB2E21" w:rsidP="004324FB">
            <w:pPr>
              <w:pStyle w:val="BodyText"/>
              <w:spacing w:after="0" w:line="240" w:lineRule="auto"/>
            </w:pPr>
            <w:r>
              <w:t>6</w:t>
            </w:r>
          </w:p>
          <w:p w14:paraId="51205787" w14:textId="2C682A19" w:rsidR="00BB2E21" w:rsidRDefault="00BB2E21" w:rsidP="004324FB">
            <w:pPr>
              <w:pStyle w:val="BodyText"/>
              <w:spacing w:after="0" w:line="240" w:lineRule="auto"/>
            </w:pPr>
            <w:r>
              <w:t>12</w:t>
            </w:r>
          </w:p>
        </w:tc>
      </w:tr>
      <w:tr w:rsidR="00BB2E21" w14:paraId="01B74B9A" w14:textId="77777777" w:rsidTr="00867DA9">
        <w:tc>
          <w:tcPr>
            <w:tcW w:w="1604" w:type="dxa"/>
            <w:vMerge/>
          </w:tcPr>
          <w:p w14:paraId="056F30AD" w14:textId="14966D79" w:rsidR="00BB2E21" w:rsidRDefault="00BB2E21" w:rsidP="004324FB">
            <w:pPr>
              <w:pStyle w:val="BodyText"/>
              <w:spacing w:after="0" w:line="240" w:lineRule="auto"/>
            </w:pPr>
          </w:p>
        </w:tc>
        <w:tc>
          <w:tcPr>
            <w:tcW w:w="1605" w:type="dxa"/>
          </w:tcPr>
          <w:p w14:paraId="15AB1220" w14:textId="646278D0" w:rsidR="00BB2E21" w:rsidRDefault="00BB2E21" w:rsidP="004324FB">
            <w:pPr>
              <w:pStyle w:val="BodyText"/>
              <w:spacing w:after="0" w:line="240" w:lineRule="auto"/>
            </w:pPr>
            <w:r>
              <w:t>7</w:t>
            </w:r>
          </w:p>
        </w:tc>
        <w:tc>
          <w:tcPr>
            <w:tcW w:w="1605" w:type="dxa"/>
          </w:tcPr>
          <w:p w14:paraId="756E9ED3" w14:textId="3E9C4F00" w:rsidR="00BB2E21" w:rsidRDefault="00BB2E21" w:rsidP="004324FB">
            <w:pPr>
              <w:pStyle w:val="BodyText"/>
              <w:spacing w:after="0" w:line="240" w:lineRule="auto"/>
              <w:rPr>
                <w:szCs w:val="20"/>
              </w:rPr>
            </w:pPr>
            <w:r>
              <w:rPr>
                <w:szCs w:val="20"/>
              </w:rPr>
              <w:t>98</w:t>
            </w:r>
          </w:p>
        </w:tc>
        <w:tc>
          <w:tcPr>
            <w:tcW w:w="1605" w:type="dxa"/>
          </w:tcPr>
          <w:p w14:paraId="36AC238C" w14:textId="6FA05876" w:rsidR="00BB2E21" w:rsidRDefault="00BB2E21" w:rsidP="004324FB">
            <w:pPr>
              <w:pStyle w:val="BodyText"/>
              <w:spacing w:after="0" w:line="240" w:lineRule="auto"/>
              <w:rPr>
                <w:szCs w:val="20"/>
              </w:rPr>
            </w:pPr>
            <w:r>
              <w:rPr>
                <w:szCs w:val="20"/>
              </w:rPr>
              <w:t>{14, 1}</w:t>
            </w:r>
          </w:p>
          <w:p w14:paraId="5EE30EB8" w14:textId="04DC8D6D" w:rsidR="00BB2E21" w:rsidRDefault="00BB2E21" w:rsidP="004324FB">
            <w:pPr>
              <w:pStyle w:val="BodyText"/>
              <w:spacing w:after="0" w:line="240" w:lineRule="auto"/>
            </w:pPr>
            <w:r w:rsidRPr="00212A7E">
              <w:rPr>
                <w:szCs w:val="20"/>
              </w:rPr>
              <w:t>{7, 2}</w:t>
            </w:r>
          </w:p>
        </w:tc>
        <w:tc>
          <w:tcPr>
            <w:tcW w:w="1605" w:type="dxa"/>
          </w:tcPr>
          <w:p w14:paraId="3380CC75" w14:textId="77777777" w:rsidR="00BB2E21" w:rsidRDefault="00BB2E21" w:rsidP="004324FB">
            <w:pPr>
              <w:pStyle w:val="BodyText"/>
              <w:spacing w:after="0" w:line="240" w:lineRule="auto"/>
            </w:pPr>
            <w:r>
              <w:t>7</w:t>
            </w:r>
          </w:p>
          <w:p w14:paraId="47B8926B" w14:textId="46E11E70" w:rsidR="00BB2E21" w:rsidRDefault="00BB2E21" w:rsidP="004324FB">
            <w:pPr>
              <w:pStyle w:val="BodyText"/>
              <w:spacing w:after="0" w:line="240" w:lineRule="auto"/>
            </w:pPr>
            <w:r>
              <w:t>14</w:t>
            </w:r>
          </w:p>
        </w:tc>
      </w:tr>
      <w:tr w:rsidR="00BB2E21" w14:paraId="131B7C5D" w14:textId="77777777" w:rsidTr="00867DA9">
        <w:tc>
          <w:tcPr>
            <w:tcW w:w="1604" w:type="dxa"/>
            <w:vMerge/>
          </w:tcPr>
          <w:p w14:paraId="7519D76B" w14:textId="77777777" w:rsidR="00BB2E21" w:rsidRDefault="00BB2E21" w:rsidP="004324FB">
            <w:pPr>
              <w:pStyle w:val="BodyText"/>
              <w:spacing w:after="0" w:line="240" w:lineRule="auto"/>
            </w:pPr>
          </w:p>
        </w:tc>
        <w:tc>
          <w:tcPr>
            <w:tcW w:w="1605" w:type="dxa"/>
          </w:tcPr>
          <w:p w14:paraId="7B6A1216" w14:textId="54FCAF67" w:rsidR="00BB2E21" w:rsidRDefault="00BB2E21" w:rsidP="004324FB">
            <w:pPr>
              <w:pStyle w:val="BodyText"/>
              <w:spacing w:after="0" w:line="240" w:lineRule="auto"/>
            </w:pPr>
            <w:r>
              <w:t>8</w:t>
            </w:r>
          </w:p>
        </w:tc>
        <w:tc>
          <w:tcPr>
            <w:tcW w:w="1605" w:type="dxa"/>
          </w:tcPr>
          <w:p w14:paraId="389921E6" w14:textId="5C738506" w:rsidR="00BB2E21" w:rsidRDefault="00BB2E21" w:rsidP="004324FB">
            <w:pPr>
              <w:pStyle w:val="BodyText"/>
              <w:spacing w:after="0" w:line="240" w:lineRule="auto"/>
              <w:rPr>
                <w:szCs w:val="20"/>
              </w:rPr>
            </w:pPr>
            <w:r>
              <w:rPr>
                <w:szCs w:val="20"/>
              </w:rPr>
              <w:t>112</w:t>
            </w:r>
          </w:p>
        </w:tc>
        <w:tc>
          <w:tcPr>
            <w:tcW w:w="1605" w:type="dxa"/>
          </w:tcPr>
          <w:p w14:paraId="298CCE11" w14:textId="23316269" w:rsidR="00BB2E21" w:rsidRDefault="00BB2E21" w:rsidP="004324FB">
            <w:pPr>
              <w:pStyle w:val="BodyText"/>
              <w:spacing w:after="0" w:line="240" w:lineRule="auto"/>
              <w:rPr>
                <w:szCs w:val="20"/>
              </w:rPr>
            </w:pPr>
            <w:r>
              <w:rPr>
                <w:szCs w:val="20"/>
              </w:rPr>
              <w:t>{14, 1}</w:t>
            </w:r>
          </w:p>
          <w:p w14:paraId="2F44DDB0" w14:textId="19CA205E" w:rsidR="00BB2E21" w:rsidRDefault="00BB2E21" w:rsidP="004324FB">
            <w:pPr>
              <w:pStyle w:val="BodyText"/>
              <w:spacing w:after="0" w:line="240" w:lineRule="auto"/>
            </w:pPr>
            <w:r w:rsidRPr="00212A7E">
              <w:rPr>
                <w:szCs w:val="20"/>
              </w:rPr>
              <w:t>{7, 2}</w:t>
            </w:r>
          </w:p>
        </w:tc>
        <w:tc>
          <w:tcPr>
            <w:tcW w:w="1605" w:type="dxa"/>
          </w:tcPr>
          <w:p w14:paraId="08F7A854" w14:textId="77777777" w:rsidR="00BB2E21" w:rsidRDefault="00BB2E21" w:rsidP="004324FB">
            <w:pPr>
              <w:pStyle w:val="BodyText"/>
              <w:spacing w:after="0" w:line="240" w:lineRule="auto"/>
            </w:pPr>
            <w:r>
              <w:t>8</w:t>
            </w:r>
          </w:p>
          <w:p w14:paraId="7FF980FA" w14:textId="0479AFAC" w:rsidR="00BB2E21" w:rsidRDefault="00BB2E21" w:rsidP="004324FB">
            <w:pPr>
              <w:pStyle w:val="BodyText"/>
              <w:spacing w:after="0" w:line="240" w:lineRule="auto"/>
            </w:pPr>
            <w:r>
              <w:t>16</w:t>
            </w:r>
          </w:p>
        </w:tc>
      </w:tr>
    </w:tbl>
    <w:p w14:paraId="5F1FFFBF" w14:textId="77777777" w:rsidR="0068498F" w:rsidRDefault="0068498F" w:rsidP="0068498F">
      <w:pPr>
        <w:pStyle w:val="BodyText"/>
      </w:pPr>
      <w:bookmarkStart w:id="3" w:name="_Ref498505269"/>
    </w:p>
    <w:p w14:paraId="7BC1C4F2" w14:textId="5F38D99F" w:rsidR="00BB2E21" w:rsidRPr="001B6A19" w:rsidRDefault="0068498F" w:rsidP="0068498F">
      <w:pPr>
        <w:pStyle w:val="BodyText"/>
      </w:pPr>
      <w:r w:rsidRPr="001B6A19">
        <w:lastRenderedPageBreak/>
        <w:t xml:space="preserve">It could be noticed that periodicity value “7 slots” gives </w:t>
      </w:r>
      <w:r w:rsidR="00BB2E21" w:rsidRPr="001B6A19">
        <w:t xml:space="preserve">a </w:t>
      </w:r>
      <w:r w:rsidRPr="001B6A19">
        <w:t xml:space="preserve">slot and half-slot resolution, which can be useful for high numerologies, where we have longer HARQ timeline in terms of OFDM-symbols and expect rather big pre-emption allocation time-wise. </w:t>
      </w:r>
    </w:p>
    <w:p w14:paraId="0124F9B9" w14:textId="67CC3BC3" w:rsidR="008D7C33" w:rsidRPr="004959D1" w:rsidRDefault="00CA4A3A" w:rsidP="00CA4A3A">
      <w:pPr>
        <w:pStyle w:val="Proposal"/>
        <w:numPr>
          <w:ilvl w:val="0"/>
          <w:numId w:val="0"/>
        </w:numPr>
      </w:pPr>
      <w:bookmarkStart w:id="4" w:name="_Ref503428693"/>
      <w:bookmarkEnd w:id="3"/>
      <w:r w:rsidRPr="001B6A19">
        <w:t xml:space="preserve">Proposal 2: </w:t>
      </w:r>
      <w:r w:rsidR="008D7C33" w:rsidRPr="001B6A19">
        <w:rPr>
          <w:b w:val="0"/>
          <w:bCs w:val="0"/>
        </w:rPr>
        <w:t xml:space="preserve">Maximum value of monitoring periodicity can be limited by HARQ timing. </w:t>
      </w:r>
      <w:r w:rsidR="00600B3C" w:rsidRPr="004959D1">
        <w:rPr>
          <w:b w:val="0"/>
          <w:bCs w:val="0"/>
        </w:rPr>
        <w:t>TBD1</w:t>
      </w:r>
      <w:r w:rsidR="00DE009A">
        <w:rPr>
          <w:b w:val="0"/>
          <w:bCs w:val="0"/>
        </w:rPr>
        <w:t xml:space="preserve"> is </w:t>
      </w:r>
      <w:r w:rsidR="00600B3C" w:rsidRPr="004959D1">
        <w:rPr>
          <w:b w:val="0"/>
          <w:bCs w:val="0"/>
        </w:rPr>
        <w:t xml:space="preserve"> </w:t>
      </w:r>
      <w:r w:rsidR="00BB2E21" w:rsidRPr="004959D1">
        <w:rPr>
          <w:b w:val="0"/>
          <w:bCs w:val="0"/>
        </w:rPr>
        <w:t>7</w:t>
      </w:r>
      <w:r w:rsidR="008D7C33" w:rsidRPr="004959D1">
        <w:rPr>
          <w:b w:val="0"/>
          <w:bCs w:val="0"/>
        </w:rPr>
        <w:t xml:space="preserve"> slots.</w:t>
      </w:r>
      <w:bookmarkEnd w:id="4"/>
    </w:p>
    <w:p w14:paraId="55928277" w14:textId="135C365E" w:rsidR="00091FDC" w:rsidRPr="00091FDC" w:rsidRDefault="00C07ADF" w:rsidP="00C07ADF">
      <w:pPr>
        <w:pStyle w:val="Heading2"/>
      </w:pPr>
      <w:r>
        <w:t>UE behaviour on PI and FI</w:t>
      </w:r>
    </w:p>
    <w:p w14:paraId="5CC7D95B" w14:textId="5921BC46" w:rsidR="00C07ADF" w:rsidRPr="001B6A19" w:rsidRDefault="00C07ADF" w:rsidP="00C07ADF">
      <w:pPr>
        <w:pStyle w:val="Proposal"/>
        <w:numPr>
          <w:ilvl w:val="0"/>
          <w:numId w:val="0"/>
        </w:numPr>
        <w:rPr>
          <w:b w:val="0"/>
        </w:rPr>
      </w:pPr>
      <w:r w:rsidRPr="001B6A19">
        <w:rPr>
          <w:b w:val="0"/>
        </w:rPr>
        <w:t>In principle, UE can be configured on receiving only pre-emption indicator (PI), only CBG flush indicator (CBGFI) or both indicators at the same time. When there is only one way for pre-emption indication, it is evident that UE must flush/restore PI- or FI-pointed parts of soft-buffer</w:t>
      </w:r>
      <w:r w:rsidR="00E8370E" w:rsidRPr="001B6A19">
        <w:rPr>
          <w:b w:val="0"/>
        </w:rPr>
        <w:t xml:space="preserve"> as soon as it can</w:t>
      </w:r>
      <w:r w:rsidRPr="001B6A19">
        <w:rPr>
          <w:b w:val="0"/>
        </w:rPr>
        <w:t xml:space="preserve">. But if </w:t>
      </w:r>
      <w:r w:rsidR="00E917F4" w:rsidRPr="001B6A19">
        <w:rPr>
          <w:b w:val="0"/>
        </w:rPr>
        <w:t>PI and FI are configured</w:t>
      </w:r>
      <w:r w:rsidR="005E185F" w:rsidRPr="001B6A19">
        <w:rPr>
          <w:b w:val="0"/>
        </w:rPr>
        <w:t xml:space="preserve"> together</w:t>
      </w:r>
      <w:r w:rsidR="00E917F4" w:rsidRPr="001B6A19">
        <w:rPr>
          <w:b w:val="0"/>
        </w:rPr>
        <w:t xml:space="preserve">, the PI </w:t>
      </w:r>
      <w:r w:rsidR="00CE508C" w:rsidRPr="001B6A19">
        <w:rPr>
          <w:b w:val="0"/>
        </w:rPr>
        <w:t>can help</w:t>
      </w:r>
      <w:r w:rsidR="00E917F4" w:rsidRPr="001B6A19">
        <w:rPr>
          <w:b w:val="0"/>
        </w:rPr>
        <w:t xml:space="preserve"> </w:t>
      </w:r>
      <w:r w:rsidR="00CE508C" w:rsidRPr="001B6A19">
        <w:rPr>
          <w:b w:val="0"/>
        </w:rPr>
        <w:t>to determine whi</w:t>
      </w:r>
      <w:r w:rsidR="005E185F" w:rsidRPr="001B6A19">
        <w:rPr>
          <w:b w:val="0"/>
        </w:rPr>
        <w:t>ch parts of a soft-buffer shall UE flush</w:t>
      </w:r>
      <w:r w:rsidR="00CE508C" w:rsidRPr="001B6A19">
        <w:rPr>
          <w:b w:val="0"/>
        </w:rPr>
        <w:t>/restor</w:t>
      </w:r>
      <w:r w:rsidR="005E185F" w:rsidRPr="001B6A19">
        <w:rPr>
          <w:b w:val="0"/>
        </w:rPr>
        <w:t>e</w:t>
      </w:r>
      <w:r w:rsidR="00CE508C" w:rsidRPr="001B6A19">
        <w:rPr>
          <w:b w:val="0"/>
        </w:rPr>
        <w:t xml:space="preserve">, while </w:t>
      </w:r>
      <w:r w:rsidR="002E01A7" w:rsidRPr="001B6A19">
        <w:rPr>
          <w:b w:val="0"/>
        </w:rPr>
        <w:t>CBGFI can be a trigger for soft-buffer modification. This two steps algorithm can help to avoid unnecessary flushing in beamforming and MU</w:t>
      </w:r>
      <w:r w:rsidR="009B2233" w:rsidRPr="001B6A19">
        <w:rPr>
          <w:b w:val="0"/>
        </w:rPr>
        <w:noBreakHyphen/>
      </w:r>
      <w:r w:rsidR="002E01A7" w:rsidRPr="001B6A19">
        <w:rPr>
          <w:b w:val="0"/>
        </w:rPr>
        <w:t xml:space="preserve">MIMO scenarios, </w:t>
      </w:r>
      <w:r w:rsidR="009B2233" w:rsidRPr="001B6A19">
        <w:rPr>
          <w:b w:val="0"/>
        </w:rPr>
        <w:t>when some eMBB UEs were not affected due to pre-emption allocation on different layers or beams.</w:t>
      </w:r>
    </w:p>
    <w:p w14:paraId="0AA64307" w14:textId="242A8E84" w:rsidR="00091FDC" w:rsidRPr="001B6A19" w:rsidRDefault="00CA4A3A" w:rsidP="00CA4A3A">
      <w:pPr>
        <w:pStyle w:val="Proposal"/>
        <w:numPr>
          <w:ilvl w:val="0"/>
          <w:numId w:val="0"/>
        </w:numPr>
      </w:pPr>
      <w:bookmarkStart w:id="5" w:name="_Ref498505273"/>
      <w:r w:rsidRPr="001B6A19">
        <w:t xml:space="preserve">Proposal 3: </w:t>
      </w:r>
      <w:r w:rsidR="009B2233" w:rsidRPr="001B6A19">
        <w:rPr>
          <w:b w:val="0"/>
          <w:bCs w:val="0"/>
        </w:rPr>
        <w:t>PI doesn’t trigger soft-buffer flushing when CBGFI is configured together with PI.</w:t>
      </w:r>
      <w:bookmarkEnd w:id="5"/>
    </w:p>
    <w:p w14:paraId="368EB798" w14:textId="7F7ADD30" w:rsidR="009B2233" w:rsidRDefault="009B2233" w:rsidP="009B2233">
      <w:pPr>
        <w:pStyle w:val="Proposal"/>
        <w:numPr>
          <w:ilvl w:val="0"/>
          <w:numId w:val="0"/>
        </w:numPr>
        <w:rPr>
          <w:b w:val="0"/>
        </w:rPr>
      </w:pPr>
      <w:r w:rsidRPr="00CB57BC">
        <w:rPr>
          <w:b w:val="0"/>
        </w:rPr>
        <w:t>All soft-buffer related questions in case of pre-emption are discussed in our companion paper</w:t>
      </w:r>
      <w:r w:rsidR="00E14C14" w:rsidRPr="00CB57BC">
        <w:rPr>
          <w:b w:val="0"/>
        </w:rPr>
        <w:t xml:space="preserve"> </w:t>
      </w:r>
      <w:r w:rsidR="00E14C14">
        <w:rPr>
          <w:b w:val="0"/>
        </w:rPr>
        <w:fldChar w:fldCharType="begin"/>
      </w:r>
      <w:r w:rsidR="00E14C14" w:rsidRPr="00CB57BC">
        <w:rPr>
          <w:b w:val="0"/>
        </w:rPr>
        <w:instrText xml:space="preserve"> REF _Ref503428941 \r \h </w:instrText>
      </w:r>
      <w:r w:rsidR="00E14C14">
        <w:rPr>
          <w:b w:val="0"/>
        </w:rPr>
      </w:r>
      <w:r w:rsidR="00E14C14">
        <w:rPr>
          <w:b w:val="0"/>
        </w:rPr>
        <w:fldChar w:fldCharType="separate"/>
      </w:r>
      <w:r w:rsidR="00E14C14" w:rsidRPr="00CB57BC">
        <w:rPr>
          <w:b w:val="0"/>
        </w:rPr>
        <w:t>[2]</w:t>
      </w:r>
      <w:r w:rsidR="00E14C14">
        <w:rPr>
          <w:b w:val="0"/>
        </w:rPr>
        <w:fldChar w:fldCharType="end"/>
      </w:r>
      <w:r w:rsidRPr="00CB57BC">
        <w:rPr>
          <w:b w:val="0"/>
        </w:rPr>
        <w:t>.</w:t>
      </w:r>
    </w:p>
    <w:p w14:paraId="66AD2C25" w14:textId="04A0A5EE" w:rsidR="00835A8E" w:rsidRPr="00091FDC" w:rsidRDefault="00835A8E" w:rsidP="00835A8E">
      <w:pPr>
        <w:pStyle w:val="Heading2"/>
      </w:pPr>
      <w:r>
        <w:t>DCI for PI with multiple component carriers</w:t>
      </w:r>
    </w:p>
    <w:p w14:paraId="65BCF394" w14:textId="27EEADB6" w:rsidR="00835A8E" w:rsidRPr="00C67AE5" w:rsidRDefault="00C67AE5" w:rsidP="00835A8E">
      <w:pPr>
        <w:pStyle w:val="Proposal"/>
        <w:numPr>
          <w:ilvl w:val="0"/>
          <w:numId w:val="0"/>
        </w:numPr>
        <w:rPr>
          <w:b w:val="0"/>
          <w:bCs w:val="0"/>
        </w:rPr>
      </w:pPr>
      <w:r>
        <w:rPr>
          <w:b w:val="0"/>
          <w:bCs w:val="0"/>
        </w:rPr>
        <w:t>It has been agreed that cross carrier preemption indication is supported, i.e. p</w:t>
      </w:r>
      <w:r w:rsidRPr="00C67AE5">
        <w:rPr>
          <w:b w:val="0"/>
          <w:bCs w:val="0"/>
        </w:rPr>
        <w:t>re</w:t>
      </w:r>
      <w:r>
        <w:rPr>
          <w:b w:val="0"/>
          <w:bCs w:val="0"/>
        </w:rPr>
        <w:t xml:space="preserve">emption indication can refer to a preemption in own CC, or another CC. This means that </w:t>
      </w:r>
      <w:r w:rsidR="00835A8E" w:rsidRPr="00C67AE5">
        <w:rPr>
          <w:b w:val="0"/>
          <w:bCs w:val="0"/>
        </w:rPr>
        <w:t xml:space="preserve"> pre-emptiong indication field in DCI </w:t>
      </w:r>
      <w:r>
        <w:rPr>
          <w:b w:val="0"/>
          <w:bCs w:val="0"/>
        </w:rPr>
        <w:t xml:space="preserve"> should be able to indicate preemption on multiple </w:t>
      </w:r>
      <w:r w:rsidR="0048681C" w:rsidRPr="00C67AE5">
        <w:rPr>
          <w:b w:val="0"/>
          <w:bCs w:val="0"/>
        </w:rPr>
        <w:t xml:space="preserve"> component carriers. </w:t>
      </w:r>
      <w:r>
        <w:rPr>
          <w:b w:val="0"/>
          <w:bCs w:val="0"/>
        </w:rPr>
        <w:t>However, i</w:t>
      </w:r>
      <w:r w:rsidR="0048681C" w:rsidRPr="00C67AE5">
        <w:rPr>
          <w:b w:val="0"/>
          <w:bCs w:val="0"/>
        </w:rPr>
        <w:t>t is not pra</w:t>
      </w:r>
      <w:r>
        <w:rPr>
          <w:b w:val="0"/>
          <w:bCs w:val="0"/>
        </w:rPr>
        <w:t>c</w:t>
      </w:r>
      <w:r w:rsidR="0048681C" w:rsidRPr="00C67AE5">
        <w:rPr>
          <w:b w:val="0"/>
          <w:bCs w:val="0"/>
        </w:rPr>
        <w:t>tical to have always 14 bits field per CC as the DCI size will vary too much and add difficulties for UE to detect.</w:t>
      </w:r>
      <w:r>
        <w:rPr>
          <w:b w:val="0"/>
          <w:bCs w:val="0"/>
        </w:rPr>
        <w:t xml:space="preserve"> To address this issue, some mapping between preemption on multiple carriers, and the PI in the DCI can be considere</w:t>
      </w:r>
      <w:r w:rsidR="008D7659">
        <w:rPr>
          <w:b w:val="0"/>
          <w:bCs w:val="0"/>
        </w:rPr>
        <w:t>d.</w:t>
      </w:r>
    </w:p>
    <w:p w14:paraId="27847087" w14:textId="0A8AE4E1" w:rsidR="00835A8E" w:rsidRPr="00CB57BC" w:rsidRDefault="0048681C" w:rsidP="0048681C">
      <w:pPr>
        <w:pStyle w:val="Proposal"/>
        <w:numPr>
          <w:ilvl w:val="0"/>
          <w:numId w:val="0"/>
        </w:numPr>
        <w:rPr>
          <w:b w:val="0"/>
        </w:rPr>
      </w:pPr>
      <w:r>
        <w:t>Proposal 4</w:t>
      </w:r>
      <w:r w:rsidR="00835A8E" w:rsidRPr="001B6A19">
        <w:t xml:space="preserve">: </w:t>
      </w:r>
      <w:r>
        <w:rPr>
          <w:b w:val="0"/>
          <w:bCs w:val="0"/>
        </w:rPr>
        <w:t xml:space="preserve"> </w:t>
      </w:r>
      <w:r w:rsidR="00514AD9" w:rsidRPr="00514AD9">
        <w:t>PI should be able to indicate preemption on multiple CCs</w:t>
      </w:r>
    </w:p>
    <w:p w14:paraId="522C5BDA" w14:textId="77777777" w:rsidR="002D3A6F" w:rsidRDefault="00C01F33" w:rsidP="002D3A6F">
      <w:pPr>
        <w:pStyle w:val="Heading1"/>
      </w:pPr>
      <w:r w:rsidRPr="00CE0424">
        <w:t>Conclusion</w:t>
      </w:r>
    </w:p>
    <w:p w14:paraId="1B175B35" w14:textId="107D35EE" w:rsidR="008E065E" w:rsidRPr="001B6A19" w:rsidRDefault="001F4F7E" w:rsidP="007077B0">
      <w:pPr>
        <w:rPr>
          <w:b/>
          <w:bCs/>
        </w:rPr>
      </w:pPr>
      <w:r w:rsidRPr="001B6A19">
        <w:t>In this contribution, we made the following observations and proposals:</w:t>
      </w:r>
      <w:r w:rsidR="007077B0" w:rsidRPr="001B6A19">
        <w:rPr>
          <w:b/>
          <w:bCs/>
        </w:rPr>
        <w:t xml:space="preserve"> </w:t>
      </w:r>
    </w:p>
    <w:p w14:paraId="2EC372DE" w14:textId="063D36F6" w:rsidR="00D05F66" w:rsidRPr="00CB57BC" w:rsidRDefault="00405B3C" w:rsidP="007077B0">
      <w:pPr>
        <w:rPr>
          <w:b/>
          <w:bCs/>
        </w:rPr>
      </w:pPr>
      <w:r w:rsidRPr="00CB57BC">
        <w:rPr>
          <w:b/>
          <w:bCs/>
        </w:rPr>
        <w:t xml:space="preserve">Proposal 1: </w:t>
      </w:r>
      <w:r w:rsidR="00D05F66" w:rsidRPr="00D05F66">
        <w:rPr>
          <w:b/>
          <w:bCs/>
        </w:rPr>
        <w:fldChar w:fldCharType="begin"/>
      </w:r>
      <w:r w:rsidR="00D05F66" w:rsidRPr="00CB57BC">
        <w:rPr>
          <w:b/>
          <w:bCs/>
        </w:rPr>
        <w:instrText xml:space="preserve"> REF _Ref503428690 \h  \* MERGEFORMAT </w:instrText>
      </w:r>
      <w:r w:rsidR="00D05F66" w:rsidRPr="00D05F66">
        <w:rPr>
          <w:b/>
          <w:bCs/>
        </w:rPr>
      </w:r>
      <w:r w:rsidR="00D05F66" w:rsidRPr="00D05F66">
        <w:rPr>
          <w:b/>
          <w:bCs/>
        </w:rPr>
        <w:fldChar w:fldCharType="separate"/>
      </w:r>
      <w:r w:rsidR="00F94BA4" w:rsidRPr="00CB57BC">
        <w:rPr>
          <w:b/>
        </w:rPr>
        <w:t>RDR should be evenly partitioned in time. A partition size can be found as RDR size in OFDM-symbols divided by M value.</w:t>
      </w:r>
      <w:r w:rsidR="00D05F66" w:rsidRPr="00D05F66">
        <w:rPr>
          <w:b/>
          <w:bCs/>
        </w:rPr>
        <w:fldChar w:fldCharType="end"/>
      </w:r>
    </w:p>
    <w:p w14:paraId="2E8A9C04" w14:textId="0D7B4357" w:rsidR="00D05F66" w:rsidRPr="00CB57BC" w:rsidRDefault="00D05F66" w:rsidP="007077B0">
      <w:pPr>
        <w:rPr>
          <w:b/>
          <w:bCs/>
        </w:rPr>
      </w:pPr>
      <w:r w:rsidRPr="00D05F66">
        <w:rPr>
          <w:b/>
          <w:bCs/>
        </w:rPr>
        <w:fldChar w:fldCharType="begin"/>
      </w:r>
      <w:r w:rsidRPr="00CB57BC">
        <w:rPr>
          <w:b/>
          <w:bCs/>
        </w:rPr>
        <w:instrText xml:space="preserve"> REF _Ref503428693 \r \h  \* MERGEFORMAT </w:instrText>
      </w:r>
      <w:r w:rsidRPr="00D05F66">
        <w:rPr>
          <w:b/>
          <w:bCs/>
        </w:rPr>
      </w:r>
      <w:r w:rsidRPr="00D05F66">
        <w:rPr>
          <w:b/>
          <w:bCs/>
        </w:rPr>
        <w:fldChar w:fldCharType="separate"/>
      </w:r>
      <w:r w:rsidRPr="00CB57BC">
        <w:rPr>
          <w:b/>
          <w:bCs/>
        </w:rPr>
        <w:t>Proposal 2</w:t>
      </w:r>
      <w:r w:rsidRPr="00D05F66">
        <w:rPr>
          <w:b/>
          <w:bCs/>
        </w:rPr>
        <w:fldChar w:fldCharType="end"/>
      </w:r>
      <w:r w:rsidRPr="00CB57BC">
        <w:rPr>
          <w:b/>
          <w:bCs/>
        </w:rPr>
        <w:tab/>
      </w:r>
      <w:r w:rsidRPr="00D05F66">
        <w:rPr>
          <w:b/>
          <w:bCs/>
        </w:rPr>
        <w:fldChar w:fldCharType="begin"/>
      </w:r>
      <w:r w:rsidRPr="00CB57BC">
        <w:rPr>
          <w:b/>
          <w:bCs/>
        </w:rPr>
        <w:instrText xml:space="preserve"> REF _Ref503428693 \h  \* MERGEFORMAT </w:instrText>
      </w:r>
      <w:r w:rsidRPr="00D05F66">
        <w:rPr>
          <w:b/>
          <w:bCs/>
        </w:rPr>
      </w:r>
      <w:r w:rsidRPr="00D05F66">
        <w:rPr>
          <w:b/>
          <w:bCs/>
        </w:rPr>
        <w:fldChar w:fldCharType="separate"/>
      </w:r>
      <w:r w:rsidRPr="00CB57BC">
        <w:rPr>
          <w:b/>
        </w:rPr>
        <w:t xml:space="preserve">Maximum value of monitoring periodicity can be limited by HARQ timing. TBD1 </w:t>
      </w:r>
      <w:r w:rsidR="00504D27">
        <w:rPr>
          <w:b/>
        </w:rPr>
        <w:t xml:space="preserve">is </w:t>
      </w:r>
      <w:r w:rsidRPr="00CB57BC">
        <w:rPr>
          <w:b/>
        </w:rPr>
        <w:t>7 slots.</w:t>
      </w:r>
      <w:r w:rsidRPr="00D05F66">
        <w:rPr>
          <w:b/>
          <w:bCs/>
        </w:rPr>
        <w:fldChar w:fldCharType="end"/>
      </w:r>
    </w:p>
    <w:p w14:paraId="6A12CC4E" w14:textId="5212430F" w:rsidR="008E065E" w:rsidRDefault="009B2233" w:rsidP="009B2233">
      <w:pPr>
        <w:ind w:left="1170" w:hanging="1170"/>
        <w:rPr>
          <w:b/>
          <w:bCs/>
        </w:rPr>
      </w:pPr>
      <w:r w:rsidRPr="009B2233">
        <w:rPr>
          <w:b/>
          <w:bCs/>
        </w:rPr>
        <w:fldChar w:fldCharType="begin"/>
      </w:r>
      <w:r w:rsidRPr="00CB57BC">
        <w:rPr>
          <w:b/>
          <w:bCs/>
        </w:rPr>
        <w:instrText xml:space="preserve"> REF _Ref498505273 \w \h  \* MERGEFORMAT </w:instrText>
      </w:r>
      <w:r w:rsidRPr="009B2233">
        <w:rPr>
          <w:b/>
          <w:bCs/>
        </w:rPr>
      </w:r>
      <w:r w:rsidRPr="009B2233">
        <w:rPr>
          <w:b/>
          <w:bCs/>
        </w:rPr>
        <w:fldChar w:fldCharType="separate"/>
      </w:r>
      <w:r w:rsidR="00D05F66" w:rsidRPr="00CB57BC">
        <w:rPr>
          <w:b/>
          <w:bCs/>
        </w:rPr>
        <w:t>Proposal 3</w:t>
      </w:r>
      <w:r w:rsidRPr="009B2233">
        <w:rPr>
          <w:b/>
          <w:bCs/>
        </w:rPr>
        <w:fldChar w:fldCharType="end"/>
      </w:r>
      <w:r w:rsidRPr="00CB57BC">
        <w:rPr>
          <w:b/>
          <w:bCs/>
        </w:rPr>
        <w:tab/>
      </w:r>
      <w:r w:rsidRPr="009B2233">
        <w:rPr>
          <w:b/>
          <w:bCs/>
        </w:rPr>
        <w:fldChar w:fldCharType="begin"/>
      </w:r>
      <w:r w:rsidRPr="00CB57BC">
        <w:rPr>
          <w:b/>
          <w:bCs/>
        </w:rPr>
        <w:instrText xml:space="preserve"> REF _Ref498505273 \h  \* MERGEFORMAT </w:instrText>
      </w:r>
      <w:r w:rsidRPr="009B2233">
        <w:rPr>
          <w:b/>
          <w:bCs/>
        </w:rPr>
      </w:r>
      <w:r w:rsidRPr="009B2233">
        <w:rPr>
          <w:b/>
          <w:bCs/>
        </w:rPr>
        <w:fldChar w:fldCharType="separate"/>
      </w:r>
      <w:r w:rsidR="00D05F66" w:rsidRPr="00CB57BC">
        <w:rPr>
          <w:b/>
        </w:rPr>
        <w:t>PI doesn’t trigger soft-buffer flushing when CBGFI is configured together with PI.</w:t>
      </w:r>
      <w:r w:rsidRPr="009B2233">
        <w:rPr>
          <w:b/>
          <w:bCs/>
        </w:rPr>
        <w:fldChar w:fldCharType="end"/>
      </w:r>
    </w:p>
    <w:p w14:paraId="21A36B58" w14:textId="4CD30B8A" w:rsidR="00DA31FB" w:rsidRPr="00CB57BC" w:rsidRDefault="00DA31FB" w:rsidP="009B2233">
      <w:pPr>
        <w:ind w:left="1170" w:hanging="1170"/>
        <w:rPr>
          <w:b/>
          <w:bCs/>
        </w:rPr>
      </w:pPr>
      <w:r w:rsidRPr="00C67AE5">
        <w:rPr>
          <w:b/>
          <w:bCs/>
        </w:rPr>
        <w:t xml:space="preserve">Proposal 4  </w:t>
      </w:r>
      <w:r w:rsidR="00514AD9">
        <w:rPr>
          <w:b/>
          <w:bCs/>
        </w:rPr>
        <w:t>PI should be able to indicate preemption on multiple CCs</w:t>
      </w:r>
      <w:r w:rsidR="00A521E7">
        <w:rPr>
          <w:b/>
          <w:bCs/>
        </w:rPr>
        <w:t>.</w:t>
      </w:r>
    </w:p>
    <w:p w14:paraId="25DC98D6" w14:textId="77777777" w:rsidR="00C01F33" w:rsidRPr="00CB57BC" w:rsidRDefault="00C01F33" w:rsidP="006E062C"/>
    <w:p w14:paraId="1AE01858" w14:textId="77777777" w:rsidR="00F507D1" w:rsidRPr="00CE0424" w:rsidRDefault="00F507D1" w:rsidP="00CE0424">
      <w:pPr>
        <w:pStyle w:val="Heading1"/>
      </w:pPr>
      <w:bookmarkStart w:id="6" w:name="_In-sequence_SDU_delivery"/>
      <w:bookmarkEnd w:id="6"/>
      <w:r w:rsidRPr="00CE0424">
        <w:t>References</w:t>
      </w:r>
    </w:p>
    <w:p w14:paraId="04254B3F" w14:textId="373E8C86" w:rsidR="00CC51DC" w:rsidRPr="001B6A19" w:rsidRDefault="00D906E6" w:rsidP="00F94BA4">
      <w:pPr>
        <w:pStyle w:val="Reference"/>
      </w:pPr>
      <w:bookmarkStart w:id="7" w:name="_Ref498085948"/>
      <w:bookmarkStart w:id="8" w:name="_Ref174151459"/>
      <w:bookmarkStart w:id="9" w:name="_Ref189809556"/>
      <w:r w:rsidRPr="001B6A19">
        <w:t>Chairman’s notes</w:t>
      </w:r>
      <w:r w:rsidR="00CC51DC" w:rsidRPr="001B6A19">
        <w:t xml:space="preserve"> of 3GPP TSG RAN </w:t>
      </w:r>
      <w:r w:rsidR="00D05F66" w:rsidRPr="001B6A19">
        <w:t>WG1 #91</w:t>
      </w:r>
      <w:r w:rsidR="006534F7" w:rsidRPr="001B6A19">
        <w:t xml:space="preserve">, </w:t>
      </w:r>
      <w:bookmarkEnd w:id="7"/>
      <w:r w:rsidR="00F94BA4" w:rsidRPr="001B6A19">
        <w:t>Reno, U.S.A., 27th Nov- 1st Dec 2017.</w:t>
      </w:r>
    </w:p>
    <w:p w14:paraId="59725718" w14:textId="51709175" w:rsidR="003A7EF3" w:rsidRPr="001B6A19" w:rsidRDefault="001D4412" w:rsidP="00500E5A">
      <w:pPr>
        <w:pStyle w:val="Reference"/>
      </w:pPr>
      <w:bookmarkStart w:id="10" w:name="_Ref498505181"/>
      <w:bookmarkStart w:id="11" w:name="_Ref503428941"/>
      <w:r w:rsidRPr="001B6A19">
        <w:t>R1-1</w:t>
      </w:r>
      <w:r w:rsidR="00E14C14" w:rsidRPr="001B6A19">
        <w:t>8</w:t>
      </w:r>
      <w:r w:rsidR="00782B88" w:rsidRPr="001B6A19">
        <w:t>00976</w:t>
      </w:r>
      <w:r w:rsidR="00C07ADF" w:rsidRPr="001B6A19">
        <w:t xml:space="preserve"> </w:t>
      </w:r>
      <w:bookmarkEnd w:id="10"/>
      <w:r w:rsidR="00114747" w:rsidRPr="001B6A19">
        <w:t xml:space="preserve">On soft-buffer handling for DL pre-emption, Ericsson, 3GPP TSG-RAN WG1 Meeting </w:t>
      </w:r>
      <w:r w:rsidR="00E14C14" w:rsidRPr="001B6A19">
        <w:t>AH 1801</w:t>
      </w:r>
      <w:r w:rsidR="00114747" w:rsidRPr="001B6A19">
        <w:t xml:space="preserve">, </w:t>
      </w:r>
      <w:r w:rsidR="00E14C14" w:rsidRPr="001B6A19">
        <w:t>Vancouver, Canada, 22nd Jan- 26th Jan 2018</w:t>
      </w:r>
      <w:bookmarkEnd w:id="8"/>
      <w:bookmarkEnd w:id="9"/>
      <w:bookmarkEnd w:id="11"/>
    </w:p>
    <w:sectPr w:rsidR="003A7EF3" w:rsidRPr="001B6A19">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22E78B" w14:textId="77777777" w:rsidR="00B03CB7" w:rsidRDefault="00B03CB7">
      <w:r>
        <w:separator/>
      </w:r>
    </w:p>
  </w:endnote>
  <w:endnote w:type="continuationSeparator" w:id="0">
    <w:p w14:paraId="02A77448" w14:textId="77777777" w:rsidR="00B03CB7" w:rsidRDefault="00B03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7F68A" w14:textId="7CE1F1F0"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96EA4">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96EA4">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AA127F" w14:textId="77777777" w:rsidR="00B03CB7" w:rsidRDefault="00B03CB7">
      <w:r>
        <w:separator/>
      </w:r>
    </w:p>
  </w:footnote>
  <w:footnote w:type="continuationSeparator" w:id="0">
    <w:p w14:paraId="13A868D8" w14:textId="77777777" w:rsidR="00B03CB7" w:rsidRDefault="00B03C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C7E65"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E843A2"/>
    <w:multiLevelType w:val="hybridMultilevel"/>
    <w:tmpl w:val="C9F689F2"/>
    <w:lvl w:ilvl="0" w:tplc="C79C2CE6">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CFD08C9"/>
    <w:multiLevelType w:val="hybridMultilevel"/>
    <w:tmpl w:val="4DCCD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7327BF"/>
    <w:multiLevelType w:val="hybridMultilevel"/>
    <w:tmpl w:val="10A4AEB4"/>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12904282"/>
    <w:multiLevelType w:val="hybridMultilevel"/>
    <w:tmpl w:val="71B00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cs="Times New Roman" w:hint="default"/>
      </w:rPr>
    </w:lvl>
    <w:lvl w:ilvl="1" w:tplc="42120270">
      <w:start w:val="4502"/>
      <w:numFmt w:val="bullet"/>
      <w:lvlText w:val="–"/>
      <w:lvlJc w:val="left"/>
      <w:pPr>
        <w:tabs>
          <w:tab w:val="num" w:pos="1440"/>
        </w:tabs>
        <w:ind w:left="1440" w:hanging="360"/>
      </w:pPr>
      <w:rPr>
        <w:rFonts w:ascii="Arial" w:hAnsi="Arial" w:cs="Times New Roman" w:hint="default"/>
      </w:rPr>
    </w:lvl>
    <w:lvl w:ilvl="2" w:tplc="EF2647FC">
      <w:start w:val="4502"/>
      <w:numFmt w:val="bullet"/>
      <w:lvlText w:val="•"/>
      <w:lvlJc w:val="left"/>
      <w:pPr>
        <w:tabs>
          <w:tab w:val="num" w:pos="2160"/>
        </w:tabs>
        <w:ind w:left="2160" w:hanging="360"/>
      </w:pPr>
      <w:rPr>
        <w:rFonts w:ascii="Arial" w:hAnsi="Arial" w:cs="Times New Roman" w:hint="default"/>
      </w:rPr>
    </w:lvl>
    <w:lvl w:ilvl="3" w:tplc="0500156A">
      <w:start w:val="4502"/>
      <w:numFmt w:val="bullet"/>
      <w:lvlText w:val="•"/>
      <w:lvlJc w:val="left"/>
      <w:pPr>
        <w:tabs>
          <w:tab w:val="num" w:pos="2880"/>
        </w:tabs>
        <w:ind w:left="2880" w:hanging="360"/>
      </w:pPr>
      <w:rPr>
        <w:rFonts w:ascii="Arial" w:hAnsi="Arial" w:cs="Times New Roman" w:hint="default"/>
      </w:rPr>
    </w:lvl>
    <w:lvl w:ilvl="4" w:tplc="F47A8D10">
      <w:start w:val="4502"/>
      <w:numFmt w:val="bullet"/>
      <w:lvlText w:val="•"/>
      <w:lvlJc w:val="left"/>
      <w:pPr>
        <w:tabs>
          <w:tab w:val="num" w:pos="3600"/>
        </w:tabs>
        <w:ind w:left="3600" w:hanging="360"/>
      </w:pPr>
      <w:rPr>
        <w:rFonts w:ascii="Arial" w:hAnsi="Arial" w:cs="Times New Roman" w:hint="default"/>
      </w:rPr>
    </w:lvl>
    <w:lvl w:ilvl="5" w:tplc="2F5C5642">
      <w:start w:val="4502"/>
      <w:numFmt w:val="bullet"/>
      <w:lvlText w:val="•"/>
      <w:lvlJc w:val="left"/>
      <w:pPr>
        <w:tabs>
          <w:tab w:val="num" w:pos="4320"/>
        </w:tabs>
        <w:ind w:left="4320" w:hanging="360"/>
      </w:pPr>
      <w:rPr>
        <w:rFonts w:ascii="Arial" w:hAnsi="Arial" w:cs="Times New Roman" w:hint="default"/>
      </w:rPr>
    </w:lvl>
    <w:lvl w:ilvl="6" w:tplc="90F21CCE">
      <w:start w:val="1"/>
      <w:numFmt w:val="bullet"/>
      <w:lvlText w:val="•"/>
      <w:lvlJc w:val="left"/>
      <w:pPr>
        <w:tabs>
          <w:tab w:val="num" w:pos="5040"/>
        </w:tabs>
        <w:ind w:left="5040" w:hanging="360"/>
      </w:pPr>
      <w:rPr>
        <w:rFonts w:ascii="Arial" w:hAnsi="Arial" w:cs="Times New Roman" w:hint="default"/>
      </w:rPr>
    </w:lvl>
    <w:lvl w:ilvl="7" w:tplc="65CCDBE2">
      <w:start w:val="1"/>
      <w:numFmt w:val="bullet"/>
      <w:lvlText w:val="•"/>
      <w:lvlJc w:val="left"/>
      <w:pPr>
        <w:tabs>
          <w:tab w:val="num" w:pos="5760"/>
        </w:tabs>
        <w:ind w:left="5760" w:hanging="360"/>
      </w:pPr>
      <w:rPr>
        <w:rFonts w:ascii="Arial" w:hAnsi="Arial" w:cs="Times New Roman" w:hint="default"/>
      </w:rPr>
    </w:lvl>
    <w:lvl w:ilvl="8" w:tplc="FB34C49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6822909"/>
    <w:multiLevelType w:val="hybridMultilevel"/>
    <w:tmpl w:val="0EF2AA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5F15AB"/>
    <w:multiLevelType w:val="multilevel"/>
    <w:tmpl w:val="F108668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DF6894"/>
    <w:multiLevelType w:val="hybridMultilevel"/>
    <w:tmpl w:val="A8CA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B635F0"/>
    <w:multiLevelType w:val="hybridMultilevel"/>
    <w:tmpl w:val="01D0E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EC50EC"/>
    <w:multiLevelType w:val="hybridMultilevel"/>
    <w:tmpl w:val="A7FCF9F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cs="Times New Roman" w:hint="default"/>
      </w:rPr>
    </w:lvl>
    <w:lvl w:ilvl="1" w:tplc="F7B6995A">
      <w:start w:val="64"/>
      <w:numFmt w:val="bullet"/>
      <w:lvlText w:val="–"/>
      <w:lvlJc w:val="left"/>
      <w:pPr>
        <w:tabs>
          <w:tab w:val="num" w:pos="1222"/>
        </w:tabs>
        <w:ind w:left="1222" w:hanging="360"/>
      </w:pPr>
      <w:rPr>
        <w:rFonts w:ascii="Arial" w:hAnsi="Arial" w:cs="Times New Roman" w:hint="default"/>
      </w:rPr>
    </w:lvl>
    <w:lvl w:ilvl="2" w:tplc="A25AD786">
      <w:start w:val="1"/>
      <w:numFmt w:val="bullet"/>
      <w:lvlText w:val="•"/>
      <w:lvlJc w:val="left"/>
      <w:pPr>
        <w:tabs>
          <w:tab w:val="num" w:pos="786"/>
        </w:tabs>
        <w:ind w:left="786" w:hanging="360"/>
      </w:pPr>
      <w:rPr>
        <w:rFonts w:ascii="Arial" w:hAnsi="Arial" w:cs="Times New Roman" w:hint="default"/>
      </w:rPr>
    </w:lvl>
    <w:lvl w:ilvl="3" w:tplc="D2B86A8E">
      <w:start w:val="1"/>
      <w:numFmt w:val="bullet"/>
      <w:lvlText w:val="•"/>
      <w:lvlJc w:val="left"/>
      <w:pPr>
        <w:tabs>
          <w:tab w:val="num" w:pos="786"/>
        </w:tabs>
        <w:ind w:left="786" w:hanging="360"/>
      </w:pPr>
      <w:rPr>
        <w:rFonts w:ascii="Arial" w:hAnsi="Arial" w:cs="Times New Roman" w:hint="default"/>
      </w:rPr>
    </w:lvl>
    <w:lvl w:ilvl="4" w:tplc="2EC24AB6">
      <w:start w:val="1"/>
      <w:numFmt w:val="bullet"/>
      <w:lvlText w:val="•"/>
      <w:lvlJc w:val="left"/>
      <w:pPr>
        <w:tabs>
          <w:tab w:val="num" w:pos="1636"/>
        </w:tabs>
        <w:ind w:left="1636" w:hanging="360"/>
      </w:pPr>
      <w:rPr>
        <w:rFonts w:ascii="Arial" w:hAnsi="Arial" w:cs="Times New Roman" w:hint="default"/>
      </w:rPr>
    </w:lvl>
    <w:lvl w:ilvl="5" w:tplc="B6B2645A">
      <w:start w:val="1"/>
      <w:numFmt w:val="bullet"/>
      <w:lvlText w:val="•"/>
      <w:lvlJc w:val="left"/>
      <w:pPr>
        <w:tabs>
          <w:tab w:val="num" w:pos="2203"/>
        </w:tabs>
        <w:ind w:left="2203" w:hanging="360"/>
      </w:pPr>
      <w:rPr>
        <w:rFonts w:ascii="Arial" w:hAnsi="Arial" w:cs="Times New Roman" w:hint="default"/>
      </w:rPr>
    </w:lvl>
    <w:lvl w:ilvl="6" w:tplc="34E0D6BC">
      <w:start w:val="1"/>
      <w:numFmt w:val="bullet"/>
      <w:lvlText w:val="•"/>
      <w:lvlJc w:val="left"/>
      <w:pPr>
        <w:tabs>
          <w:tab w:val="num" w:pos="2487"/>
        </w:tabs>
        <w:ind w:left="2487" w:hanging="360"/>
      </w:pPr>
      <w:rPr>
        <w:rFonts w:ascii="Arial" w:hAnsi="Arial" w:cs="Times New Roman" w:hint="default"/>
      </w:rPr>
    </w:lvl>
    <w:lvl w:ilvl="7" w:tplc="9AB47028">
      <w:start w:val="1"/>
      <w:numFmt w:val="bullet"/>
      <w:lvlText w:val="•"/>
      <w:lvlJc w:val="left"/>
      <w:pPr>
        <w:tabs>
          <w:tab w:val="num" w:pos="2912"/>
        </w:tabs>
        <w:ind w:left="2912" w:hanging="360"/>
      </w:pPr>
      <w:rPr>
        <w:rFonts w:ascii="Arial" w:hAnsi="Arial" w:cs="Times New Roman" w:hint="default"/>
      </w:rPr>
    </w:lvl>
    <w:lvl w:ilvl="8" w:tplc="324842C0">
      <w:start w:val="1"/>
      <w:numFmt w:val="bullet"/>
      <w:lvlText w:val="•"/>
      <w:lvlJc w:val="left"/>
      <w:pPr>
        <w:tabs>
          <w:tab w:val="num" w:pos="6262"/>
        </w:tabs>
        <w:ind w:left="6262" w:hanging="360"/>
      </w:pPr>
      <w:rPr>
        <w:rFonts w:ascii="Arial" w:hAnsi="Arial" w:cs="Times New Roman" w:hint="default"/>
      </w:rPr>
    </w:lvl>
  </w:abstractNum>
  <w:abstractNum w:abstractNumId="26" w15:restartNumberingAfterBreak="0">
    <w:nsid w:val="5D3B7C8E"/>
    <w:multiLevelType w:val="hybridMultilevel"/>
    <w:tmpl w:val="5ACEF97C"/>
    <w:lvl w:ilvl="0" w:tplc="C79C2CE6">
      <w:start w:val="1"/>
      <w:numFmt w:val="bullet"/>
      <w:lvlText w:val="•"/>
      <w:lvlJc w:val="left"/>
      <w:pPr>
        <w:ind w:left="502" w:hanging="360"/>
      </w:pPr>
      <w:rPr>
        <w:rFonts w:ascii="Arial" w:hAnsi="Arial" w:hint="default"/>
      </w:rPr>
    </w:lvl>
    <w:lvl w:ilvl="1" w:tplc="04090003">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7" w15:restartNumberingAfterBreak="0">
    <w:nsid w:val="5FB26FF7"/>
    <w:multiLevelType w:val="hybridMultilevel"/>
    <w:tmpl w:val="4F98D416"/>
    <w:lvl w:ilvl="0" w:tplc="BFC8044E">
      <w:start w:val="1"/>
      <w:numFmt w:val="bullet"/>
      <w:lvlText w:val="•"/>
      <w:lvlJc w:val="left"/>
      <w:pPr>
        <w:ind w:left="704" w:hanging="420"/>
      </w:pPr>
      <w:rPr>
        <w:rFonts w:ascii="Arial"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64B54002"/>
    <w:multiLevelType w:val="hybridMultilevel"/>
    <w:tmpl w:val="6088B78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50D5E43"/>
    <w:multiLevelType w:val="hybridMultilevel"/>
    <w:tmpl w:val="DA0E0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67987E81"/>
    <w:multiLevelType w:val="hybridMultilevel"/>
    <w:tmpl w:val="F868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D684910"/>
    <w:multiLevelType w:val="hybridMultilevel"/>
    <w:tmpl w:val="D8863B0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2"/>
  </w:num>
  <w:num w:numId="3">
    <w:abstractNumId w:val="16"/>
  </w:num>
  <w:num w:numId="4">
    <w:abstractNumId w:val="17"/>
  </w:num>
  <w:num w:numId="5">
    <w:abstractNumId w:val="13"/>
  </w:num>
  <w:num w:numId="6">
    <w:abstractNumId w:val="19"/>
  </w:num>
  <w:num w:numId="7">
    <w:abstractNumId w:val="24"/>
  </w:num>
  <w:num w:numId="8">
    <w:abstractNumId w:val="14"/>
  </w:num>
  <w:num w:numId="9">
    <w:abstractNumId w:val="12"/>
  </w:num>
  <w:num w:numId="10">
    <w:abstractNumId w:val="3"/>
  </w:num>
  <w:num w:numId="11">
    <w:abstractNumId w:val="2"/>
  </w:num>
  <w:num w:numId="12">
    <w:abstractNumId w:val="1"/>
  </w:num>
  <w:num w:numId="13">
    <w:abstractNumId w:val="23"/>
  </w:num>
  <w:num w:numId="14">
    <w:abstractNumId w:val="0"/>
  </w:num>
  <w:num w:numId="15">
    <w:abstractNumId w:val="30"/>
  </w:num>
  <w:num w:numId="16">
    <w:abstractNumId w:val="18"/>
  </w:num>
  <w:num w:numId="1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num>
  <w:num w:numId="19">
    <w:abstractNumId w:val="32"/>
  </w:num>
  <w:num w:numId="20">
    <w:abstractNumId w:val="21"/>
  </w:num>
  <w:num w:numId="21">
    <w:abstractNumId w:val="25"/>
  </w:num>
  <w:num w:numId="22">
    <w:abstractNumId w:val="27"/>
  </w:num>
  <w:num w:numId="23">
    <w:abstractNumId w:val="9"/>
  </w:num>
  <w:num w:numId="24">
    <w:abstractNumId w:val="20"/>
  </w:num>
  <w:num w:numId="25">
    <w:abstractNumId w:val="8"/>
  </w:num>
  <w:num w:numId="26">
    <w:abstractNumId w:val="10"/>
  </w:num>
  <w:num w:numId="27">
    <w:abstractNumId w:val="6"/>
  </w:num>
  <w:num w:numId="28">
    <w:abstractNumId w:val="15"/>
  </w:num>
  <w:num w:numId="29">
    <w:abstractNumId w:val="29"/>
  </w:num>
  <w:num w:numId="30">
    <w:abstractNumId w:val="28"/>
  </w:num>
  <w:num w:numId="31">
    <w:abstractNumId w:val="26"/>
  </w:num>
  <w:num w:numId="32">
    <w:abstractNumId w:val="5"/>
  </w:num>
  <w:num w:numId="3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D3A"/>
    <w:rsid w:val="000006E1"/>
    <w:rsid w:val="00002A37"/>
    <w:rsid w:val="000039F4"/>
    <w:rsid w:val="00006446"/>
    <w:rsid w:val="00006896"/>
    <w:rsid w:val="00007CDC"/>
    <w:rsid w:val="00011B28"/>
    <w:rsid w:val="0001562F"/>
    <w:rsid w:val="00015D15"/>
    <w:rsid w:val="0002564D"/>
    <w:rsid w:val="00025ECA"/>
    <w:rsid w:val="000325B8"/>
    <w:rsid w:val="00034C15"/>
    <w:rsid w:val="00036BA1"/>
    <w:rsid w:val="00041382"/>
    <w:rsid w:val="00041BD0"/>
    <w:rsid w:val="000422E2"/>
    <w:rsid w:val="00042F22"/>
    <w:rsid w:val="000444EF"/>
    <w:rsid w:val="00052A07"/>
    <w:rsid w:val="000534E3"/>
    <w:rsid w:val="0005606A"/>
    <w:rsid w:val="00057117"/>
    <w:rsid w:val="000604EE"/>
    <w:rsid w:val="000616E7"/>
    <w:rsid w:val="0006487E"/>
    <w:rsid w:val="00065E1A"/>
    <w:rsid w:val="00077E5F"/>
    <w:rsid w:val="0008036A"/>
    <w:rsid w:val="00080D50"/>
    <w:rsid w:val="00081AE6"/>
    <w:rsid w:val="000828CF"/>
    <w:rsid w:val="000855EB"/>
    <w:rsid w:val="00085B52"/>
    <w:rsid w:val="000866F2"/>
    <w:rsid w:val="0009009F"/>
    <w:rsid w:val="00091557"/>
    <w:rsid w:val="00091FDC"/>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0EFF"/>
    <w:rsid w:val="000E1E92"/>
    <w:rsid w:val="000F06D6"/>
    <w:rsid w:val="000F0EB1"/>
    <w:rsid w:val="000F1106"/>
    <w:rsid w:val="000F3BE9"/>
    <w:rsid w:val="000F3F6C"/>
    <w:rsid w:val="000F6DF3"/>
    <w:rsid w:val="001005FF"/>
    <w:rsid w:val="001062FB"/>
    <w:rsid w:val="001063E6"/>
    <w:rsid w:val="00110045"/>
    <w:rsid w:val="00113CF4"/>
    <w:rsid w:val="00114747"/>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5A88"/>
    <w:rsid w:val="00151E23"/>
    <w:rsid w:val="001526E0"/>
    <w:rsid w:val="001527F7"/>
    <w:rsid w:val="001551B5"/>
    <w:rsid w:val="00162D28"/>
    <w:rsid w:val="001659C1"/>
    <w:rsid w:val="00173A8E"/>
    <w:rsid w:val="00177795"/>
    <w:rsid w:val="0018143F"/>
    <w:rsid w:val="0018665A"/>
    <w:rsid w:val="00190AC1"/>
    <w:rsid w:val="0019341A"/>
    <w:rsid w:val="00197DF9"/>
    <w:rsid w:val="001A1987"/>
    <w:rsid w:val="001A2564"/>
    <w:rsid w:val="001A6173"/>
    <w:rsid w:val="001A6CBA"/>
    <w:rsid w:val="001B0D97"/>
    <w:rsid w:val="001B5A5D"/>
    <w:rsid w:val="001B6A19"/>
    <w:rsid w:val="001C0AE3"/>
    <w:rsid w:val="001C0EC6"/>
    <w:rsid w:val="001C14FD"/>
    <w:rsid w:val="001C1CE5"/>
    <w:rsid w:val="001C3D2A"/>
    <w:rsid w:val="001C7C47"/>
    <w:rsid w:val="001D4412"/>
    <w:rsid w:val="001D51BA"/>
    <w:rsid w:val="001D6342"/>
    <w:rsid w:val="001D6D53"/>
    <w:rsid w:val="001D7043"/>
    <w:rsid w:val="001E58E2"/>
    <w:rsid w:val="001E7AED"/>
    <w:rsid w:val="001F3916"/>
    <w:rsid w:val="001F4F7E"/>
    <w:rsid w:val="001F54C5"/>
    <w:rsid w:val="001F662C"/>
    <w:rsid w:val="001F7074"/>
    <w:rsid w:val="00200490"/>
    <w:rsid w:val="00201F3A"/>
    <w:rsid w:val="00203F96"/>
    <w:rsid w:val="002069B2"/>
    <w:rsid w:val="00206E56"/>
    <w:rsid w:val="00207FA3"/>
    <w:rsid w:val="00212A7E"/>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47E1A"/>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906"/>
    <w:rsid w:val="002A1D4E"/>
    <w:rsid w:val="002A2869"/>
    <w:rsid w:val="002B24D6"/>
    <w:rsid w:val="002B4A37"/>
    <w:rsid w:val="002B6681"/>
    <w:rsid w:val="002C314B"/>
    <w:rsid w:val="002C41E6"/>
    <w:rsid w:val="002C7B07"/>
    <w:rsid w:val="002D071A"/>
    <w:rsid w:val="002D34B2"/>
    <w:rsid w:val="002D3A6F"/>
    <w:rsid w:val="002D7637"/>
    <w:rsid w:val="002E01A7"/>
    <w:rsid w:val="002E17F2"/>
    <w:rsid w:val="002E5688"/>
    <w:rsid w:val="002E7CAE"/>
    <w:rsid w:val="002F2771"/>
    <w:rsid w:val="002F37A9"/>
    <w:rsid w:val="00301CE6"/>
    <w:rsid w:val="0030256B"/>
    <w:rsid w:val="003046C5"/>
    <w:rsid w:val="0030501F"/>
    <w:rsid w:val="00307220"/>
    <w:rsid w:val="00307BA1"/>
    <w:rsid w:val="00311702"/>
    <w:rsid w:val="00311E82"/>
    <w:rsid w:val="00313FD6"/>
    <w:rsid w:val="003143BD"/>
    <w:rsid w:val="003144DD"/>
    <w:rsid w:val="003203ED"/>
    <w:rsid w:val="00322C9F"/>
    <w:rsid w:val="00324D23"/>
    <w:rsid w:val="00331751"/>
    <w:rsid w:val="00334579"/>
    <w:rsid w:val="00335858"/>
    <w:rsid w:val="00336BDA"/>
    <w:rsid w:val="00342BD7"/>
    <w:rsid w:val="00343A07"/>
    <w:rsid w:val="00346DB5"/>
    <w:rsid w:val="003477B1"/>
    <w:rsid w:val="0035491B"/>
    <w:rsid w:val="00356B7C"/>
    <w:rsid w:val="00357380"/>
    <w:rsid w:val="003602D9"/>
    <w:rsid w:val="003604CE"/>
    <w:rsid w:val="003641C3"/>
    <w:rsid w:val="003675F6"/>
    <w:rsid w:val="00370E47"/>
    <w:rsid w:val="003742AC"/>
    <w:rsid w:val="003777BF"/>
    <w:rsid w:val="00377CE1"/>
    <w:rsid w:val="00385357"/>
    <w:rsid w:val="00385BF0"/>
    <w:rsid w:val="003863CC"/>
    <w:rsid w:val="003939FF"/>
    <w:rsid w:val="003A2223"/>
    <w:rsid w:val="003A2A0F"/>
    <w:rsid w:val="003A45A1"/>
    <w:rsid w:val="003A5B0A"/>
    <w:rsid w:val="003A6BAC"/>
    <w:rsid w:val="003A6E2A"/>
    <w:rsid w:val="003A7EF3"/>
    <w:rsid w:val="003B159C"/>
    <w:rsid w:val="003B369F"/>
    <w:rsid w:val="003B36A3"/>
    <w:rsid w:val="003B460B"/>
    <w:rsid w:val="003B592E"/>
    <w:rsid w:val="003B7FE5"/>
    <w:rsid w:val="003C11C8"/>
    <w:rsid w:val="003C2702"/>
    <w:rsid w:val="003C2B67"/>
    <w:rsid w:val="003C7806"/>
    <w:rsid w:val="003D109F"/>
    <w:rsid w:val="003D2478"/>
    <w:rsid w:val="003D3C45"/>
    <w:rsid w:val="003D5B1F"/>
    <w:rsid w:val="003E15FA"/>
    <w:rsid w:val="003E55E4"/>
    <w:rsid w:val="003E74E3"/>
    <w:rsid w:val="003F05C7"/>
    <w:rsid w:val="003F264D"/>
    <w:rsid w:val="003F2CD4"/>
    <w:rsid w:val="003F6BBE"/>
    <w:rsid w:val="004000E8"/>
    <w:rsid w:val="00402E2B"/>
    <w:rsid w:val="0040512B"/>
    <w:rsid w:val="00405B3C"/>
    <w:rsid w:val="00405CA5"/>
    <w:rsid w:val="00407CD3"/>
    <w:rsid w:val="00410134"/>
    <w:rsid w:val="00410B01"/>
    <w:rsid w:val="00410B72"/>
    <w:rsid w:val="00410F18"/>
    <w:rsid w:val="0041263E"/>
    <w:rsid w:val="004133F7"/>
    <w:rsid w:val="00413AAC"/>
    <w:rsid w:val="0041566F"/>
    <w:rsid w:val="00421105"/>
    <w:rsid w:val="004242F4"/>
    <w:rsid w:val="00427248"/>
    <w:rsid w:val="004324FB"/>
    <w:rsid w:val="00437447"/>
    <w:rsid w:val="00437A6C"/>
    <w:rsid w:val="00441A92"/>
    <w:rsid w:val="00444F56"/>
    <w:rsid w:val="00446488"/>
    <w:rsid w:val="004517AA"/>
    <w:rsid w:val="00452CAC"/>
    <w:rsid w:val="00456F7B"/>
    <w:rsid w:val="00457565"/>
    <w:rsid w:val="00457B71"/>
    <w:rsid w:val="004669E2"/>
    <w:rsid w:val="00470C31"/>
    <w:rsid w:val="004734D0"/>
    <w:rsid w:val="0047556B"/>
    <w:rsid w:val="0047567C"/>
    <w:rsid w:val="00477768"/>
    <w:rsid w:val="0048681C"/>
    <w:rsid w:val="00491F06"/>
    <w:rsid w:val="00492BC5"/>
    <w:rsid w:val="004959D1"/>
    <w:rsid w:val="004964F1"/>
    <w:rsid w:val="004A16BC"/>
    <w:rsid w:val="004A2B94"/>
    <w:rsid w:val="004B7C0C"/>
    <w:rsid w:val="004C2DB9"/>
    <w:rsid w:val="004C3898"/>
    <w:rsid w:val="004D2736"/>
    <w:rsid w:val="004D36B1"/>
    <w:rsid w:val="004D7EBD"/>
    <w:rsid w:val="004E2680"/>
    <w:rsid w:val="004E28F9"/>
    <w:rsid w:val="004E3BC1"/>
    <w:rsid w:val="004E462E"/>
    <w:rsid w:val="004E56DC"/>
    <w:rsid w:val="004E76F4"/>
    <w:rsid w:val="004F0B4E"/>
    <w:rsid w:val="004F0B6C"/>
    <w:rsid w:val="004F2078"/>
    <w:rsid w:val="004F4DA3"/>
    <w:rsid w:val="00500A37"/>
    <w:rsid w:val="00500E5A"/>
    <w:rsid w:val="00504D27"/>
    <w:rsid w:val="00506557"/>
    <w:rsid w:val="0050677A"/>
    <w:rsid w:val="005108D8"/>
    <w:rsid w:val="005116F9"/>
    <w:rsid w:val="00514AD9"/>
    <w:rsid w:val="005153A7"/>
    <w:rsid w:val="005219CF"/>
    <w:rsid w:val="00534B59"/>
    <w:rsid w:val="00536759"/>
    <w:rsid w:val="00537C62"/>
    <w:rsid w:val="00537CBE"/>
    <w:rsid w:val="00546970"/>
    <w:rsid w:val="0055171F"/>
    <w:rsid w:val="00554E19"/>
    <w:rsid w:val="0056121F"/>
    <w:rsid w:val="0056192E"/>
    <w:rsid w:val="00565F7C"/>
    <w:rsid w:val="00572505"/>
    <w:rsid w:val="005746B2"/>
    <w:rsid w:val="00582809"/>
    <w:rsid w:val="005870F0"/>
    <w:rsid w:val="0058798C"/>
    <w:rsid w:val="005900FA"/>
    <w:rsid w:val="005935A4"/>
    <w:rsid w:val="005948C2"/>
    <w:rsid w:val="00595DCA"/>
    <w:rsid w:val="00597142"/>
    <w:rsid w:val="0059779B"/>
    <w:rsid w:val="005A10A4"/>
    <w:rsid w:val="005A1898"/>
    <w:rsid w:val="005A209A"/>
    <w:rsid w:val="005A662D"/>
    <w:rsid w:val="005B35D7"/>
    <w:rsid w:val="005B392A"/>
    <w:rsid w:val="005B3AA3"/>
    <w:rsid w:val="005B591A"/>
    <w:rsid w:val="005B6F83"/>
    <w:rsid w:val="005C74FB"/>
    <w:rsid w:val="005D1602"/>
    <w:rsid w:val="005D3D5C"/>
    <w:rsid w:val="005E185F"/>
    <w:rsid w:val="005E385F"/>
    <w:rsid w:val="005E5B81"/>
    <w:rsid w:val="005F2CB1"/>
    <w:rsid w:val="005F3025"/>
    <w:rsid w:val="005F618C"/>
    <w:rsid w:val="005F6626"/>
    <w:rsid w:val="005F70BD"/>
    <w:rsid w:val="00600B3C"/>
    <w:rsid w:val="0060162B"/>
    <w:rsid w:val="0060283C"/>
    <w:rsid w:val="00604F14"/>
    <w:rsid w:val="00611557"/>
    <w:rsid w:val="00611B83"/>
    <w:rsid w:val="00613257"/>
    <w:rsid w:val="00620A71"/>
    <w:rsid w:val="00620D80"/>
    <w:rsid w:val="006234A6"/>
    <w:rsid w:val="00630001"/>
    <w:rsid w:val="006311B3"/>
    <w:rsid w:val="00631CA0"/>
    <w:rsid w:val="0063284C"/>
    <w:rsid w:val="00632D1E"/>
    <w:rsid w:val="00636398"/>
    <w:rsid w:val="006368D3"/>
    <w:rsid w:val="006377EC"/>
    <w:rsid w:val="0064151F"/>
    <w:rsid w:val="00641533"/>
    <w:rsid w:val="0064208D"/>
    <w:rsid w:val="00643475"/>
    <w:rsid w:val="0064396A"/>
    <w:rsid w:val="0064624E"/>
    <w:rsid w:val="00650AB9"/>
    <w:rsid w:val="006534F7"/>
    <w:rsid w:val="00655733"/>
    <w:rsid w:val="00655ACD"/>
    <w:rsid w:val="00656A92"/>
    <w:rsid w:val="00656DDE"/>
    <w:rsid w:val="0066011D"/>
    <w:rsid w:val="006607C0"/>
    <w:rsid w:val="006613A6"/>
    <w:rsid w:val="00661E80"/>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2851"/>
    <w:rsid w:val="00683ECE"/>
    <w:rsid w:val="0068498F"/>
    <w:rsid w:val="00695FC2"/>
    <w:rsid w:val="00696949"/>
    <w:rsid w:val="00697052"/>
    <w:rsid w:val="006A46FB"/>
    <w:rsid w:val="006A4FE8"/>
    <w:rsid w:val="006A5E28"/>
    <w:rsid w:val="006A6300"/>
    <w:rsid w:val="006A697B"/>
    <w:rsid w:val="006A7AFF"/>
    <w:rsid w:val="006B1816"/>
    <w:rsid w:val="006B2099"/>
    <w:rsid w:val="006B50CF"/>
    <w:rsid w:val="006C03B8"/>
    <w:rsid w:val="006C5EC9"/>
    <w:rsid w:val="006C6059"/>
    <w:rsid w:val="006C7522"/>
    <w:rsid w:val="006D6F08"/>
    <w:rsid w:val="006E062C"/>
    <w:rsid w:val="006E235F"/>
    <w:rsid w:val="006E28B7"/>
    <w:rsid w:val="006E3310"/>
    <w:rsid w:val="006E4E39"/>
    <w:rsid w:val="006E565E"/>
    <w:rsid w:val="006E673D"/>
    <w:rsid w:val="006E7D3B"/>
    <w:rsid w:val="006F1B70"/>
    <w:rsid w:val="006F1D3A"/>
    <w:rsid w:val="006F341D"/>
    <w:rsid w:val="006F3CDE"/>
    <w:rsid w:val="006F58D4"/>
    <w:rsid w:val="0070346E"/>
    <w:rsid w:val="00704EDB"/>
    <w:rsid w:val="00706101"/>
    <w:rsid w:val="00707072"/>
    <w:rsid w:val="007077B0"/>
    <w:rsid w:val="00707D61"/>
    <w:rsid w:val="00712287"/>
    <w:rsid w:val="00712772"/>
    <w:rsid w:val="007148D3"/>
    <w:rsid w:val="00715B9A"/>
    <w:rsid w:val="00726EA6"/>
    <w:rsid w:val="00727208"/>
    <w:rsid w:val="00727680"/>
    <w:rsid w:val="007348B1"/>
    <w:rsid w:val="007362A6"/>
    <w:rsid w:val="00736D7D"/>
    <w:rsid w:val="00740E58"/>
    <w:rsid w:val="00741A41"/>
    <w:rsid w:val="007445A0"/>
    <w:rsid w:val="0074524B"/>
    <w:rsid w:val="00747D8B"/>
    <w:rsid w:val="00751228"/>
    <w:rsid w:val="00751D91"/>
    <w:rsid w:val="007571E1"/>
    <w:rsid w:val="007604B2"/>
    <w:rsid w:val="00765281"/>
    <w:rsid w:val="00766BAD"/>
    <w:rsid w:val="007730BD"/>
    <w:rsid w:val="007755F2"/>
    <w:rsid w:val="00776879"/>
    <w:rsid w:val="00776971"/>
    <w:rsid w:val="0078177E"/>
    <w:rsid w:val="00782B88"/>
    <w:rsid w:val="0078304C"/>
    <w:rsid w:val="00783673"/>
    <w:rsid w:val="00785490"/>
    <w:rsid w:val="007925EA"/>
    <w:rsid w:val="00793CD8"/>
    <w:rsid w:val="00795C92"/>
    <w:rsid w:val="00796231"/>
    <w:rsid w:val="007A1CB3"/>
    <w:rsid w:val="007A306F"/>
    <w:rsid w:val="007A43A6"/>
    <w:rsid w:val="007A4857"/>
    <w:rsid w:val="007A58A6"/>
    <w:rsid w:val="007B3D2D"/>
    <w:rsid w:val="007B50AE"/>
    <w:rsid w:val="007B51DF"/>
    <w:rsid w:val="007C05DD"/>
    <w:rsid w:val="007C3D18"/>
    <w:rsid w:val="007C60BF"/>
    <w:rsid w:val="007C6A07"/>
    <w:rsid w:val="007C75A1"/>
    <w:rsid w:val="007C77A5"/>
    <w:rsid w:val="007D04E5"/>
    <w:rsid w:val="007D5901"/>
    <w:rsid w:val="007D7526"/>
    <w:rsid w:val="007E383D"/>
    <w:rsid w:val="007E4610"/>
    <w:rsid w:val="007E4715"/>
    <w:rsid w:val="007E505B"/>
    <w:rsid w:val="007E7091"/>
    <w:rsid w:val="00803FAE"/>
    <w:rsid w:val="0080605F"/>
    <w:rsid w:val="00807786"/>
    <w:rsid w:val="00811FCB"/>
    <w:rsid w:val="008158D6"/>
    <w:rsid w:val="00817196"/>
    <w:rsid w:val="00822F43"/>
    <w:rsid w:val="008235DB"/>
    <w:rsid w:val="00824AB4"/>
    <w:rsid w:val="00825C42"/>
    <w:rsid w:val="00825D25"/>
    <w:rsid w:val="00827D6F"/>
    <w:rsid w:val="008318F5"/>
    <w:rsid w:val="00835A8E"/>
    <w:rsid w:val="008376AC"/>
    <w:rsid w:val="00841D16"/>
    <w:rsid w:val="008444E8"/>
    <w:rsid w:val="00844E80"/>
    <w:rsid w:val="00846FE7"/>
    <w:rsid w:val="008510DC"/>
    <w:rsid w:val="00854F97"/>
    <w:rsid w:val="00856911"/>
    <w:rsid w:val="008677FD"/>
    <w:rsid w:val="008706D4"/>
    <w:rsid w:val="00870F8A"/>
    <w:rsid w:val="008719A4"/>
    <w:rsid w:val="00871D23"/>
    <w:rsid w:val="00873DB0"/>
    <w:rsid w:val="00874312"/>
    <w:rsid w:val="0087437C"/>
    <w:rsid w:val="0087521B"/>
    <w:rsid w:val="00875CD7"/>
    <w:rsid w:val="00876B4D"/>
    <w:rsid w:val="00877F18"/>
    <w:rsid w:val="008914E2"/>
    <w:rsid w:val="00894A88"/>
    <w:rsid w:val="00894F35"/>
    <w:rsid w:val="00895386"/>
    <w:rsid w:val="008A0576"/>
    <w:rsid w:val="008A21FF"/>
    <w:rsid w:val="008A2CE2"/>
    <w:rsid w:val="008A30AC"/>
    <w:rsid w:val="008A44B8"/>
    <w:rsid w:val="008A51A8"/>
    <w:rsid w:val="008A54C7"/>
    <w:rsid w:val="008A77D8"/>
    <w:rsid w:val="008B0483"/>
    <w:rsid w:val="008B120C"/>
    <w:rsid w:val="008B1677"/>
    <w:rsid w:val="008B51A0"/>
    <w:rsid w:val="008B592A"/>
    <w:rsid w:val="008B7B5C"/>
    <w:rsid w:val="008C0C99"/>
    <w:rsid w:val="008C2017"/>
    <w:rsid w:val="008C2EA4"/>
    <w:rsid w:val="008C4958"/>
    <w:rsid w:val="008C4BAA"/>
    <w:rsid w:val="008C6AE8"/>
    <w:rsid w:val="008C7573"/>
    <w:rsid w:val="008D34F1"/>
    <w:rsid w:val="008D39D8"/>
    <w:rsid w:val="008D6D1A"/>
    <w:rsid w:val="008D7659"/>
    <w:rsid w:val="008D7C33"/>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59DA"/>
    <w:rsid w:val="0096739B"/>
    <w:rsid w:val="00971F08"/>
    <w:rsid w:val="0097603D"/>
    <w:rsid w:val="00976949"/>
    <w:rsid w:val="00980477"/>
    <w:rsid w:val="00985253"/>
    <w:rsid w:val="009853B3"/>
    <w:rsid w:val="00986EEB"/>
    <w:rsid w:val="00990630"/>
    <w:rsid w:val="00991761"/>
    <w:rsid w:val="00994DCA"/>
    <w:rsid w:val="009960EC"/>
    <w:rsid w:val="009970DD"/>
    <w:rsid w:val="009A0FBA"/>
    <w:rsid w:val="009A1601"/>
    <w:rsid w:val="009A462D"/>
    <w:rsid w:val="009A5CBA"/>
    <w:rsid w:val="009B0A28"/>
    <w:rsid w:val="009B1F30"/>
    <w:rsid w:val="009B2233"/>
    <w:rsid w:val="009B3AC2"/>
    <w:rsid w:val="009B4DF4"/>
    <w:rsid w:val="009B564E"/>
    <w:rsid w:val="009B7E87"/>
    <w:rsid w:val="009C403E"/>
    <w:rsid w:val="009D4FF0"/>
    <w:rsid w:val="009D703C"/>
    <w:rsid w:val="009D718F"/>
    <w:rsid w:val="009E068F"/>
    <w:rsid w:val="009E14E0"/>
    <w:rsid w:val="009E35DB"/>
    <w:rsid w:val="009E47A3"/>
    <w:rsid w:val="009F08F3"/>
    <w:rsid w:val="009F1BD7"/>
    <w:rsid w:val="009F344F"/>
    <w:rsid w:val="00A00A01"/>
    <w:rsid w:val="00A048A8"/>
    <w:rsid w:val="00A04F49"/>
    <w:rsid w:val="00A0771C"/>
    <w:rsid w:val="00A13E54"/>
    <w:rsid w:val="00A17F63"/>
    <w:rsid w:val="00A2052C"/>
    <w:rsid w:val="00A2193B"/>
    <w:rsid w:val="00A23469"/>
    <w:rsid w:val="00A2351A"/>
    <w:rsid w:val="00A264A9"/>
    <w:rsid w:val="00A27785"/>
    <w:rsid w:val="00A30187"/>
    <w:rsid w:val="00A3448A"/>
    <w:rsid w:val="00A36297"/>
    <w:rsid w:val="00A41E2B"/>
    <w:rsid w:val="00A45B74"/>
    <w:rsid w:val="00A521E7"/>
    <w:rsid w:val="00A52E1D"/>
    <w:rsid w:val="00A54414"/>
    <w:rsid w:val="00A61499"/>
    <w:rsid w:val="00A61646"/>
    <w:rsid w:val="00A62A77"/>
    <w:rsid w:val="00A63483"/>
    <w:rsid w:val="00A657D7"/>
    <w:rsid w:val="00A660AC"/>
    <w:rsid w:val="00A66F55"/>
    <w:rsid w:val="00A67E6C"/>
    <w:rsid w:val="00A71B99"/>
    <w:rsid w:val="00A739D0"/>
    <w:rsid w:val="00A74EEC"/>
    <w:rsid w:val="00A761D4"/>
    <w:rsid w:val="00A77EC4"/>
    <w:rsid w:val="00A92879"/>
    <w:rsid w:val="00A9442A"/>
    <w:rsid w:val="00A96EA4"/>
    <w:rsid w:val="00AA016F"/>
    <w:rsid w:val="00AA1ED6"/>
    <w:rsid w:val="00AA51D6"/>
    <w:rsid w:val="00AA5F11"/>
    <w:rsid w:val="00AB0BC8"/>
    <w:rsid w:val="00AB11CA"/>
    <w:rsid w:val="00AB14D9"/>
    <w:rsid w:val="00AB4AB8"/>
    <w:rsid w:val="00AB655E"/>
    <w:rsid w:val="00AC007F"/>
    <w:rsid w:val="00AC2ECD"/>
    <w:rsid w:val="00AC3119"/>
    <w:rsid w:val="00AC49FB"/>
    <w:rsid w:val="00AC5A10"/>
    <w:rsid w:val="00AD001A"/>
    <w:rsid w:val="00AD0AA3"/>
    <w:rsid w:val="00AD3F94"/>
    <w:rsid w:val="00AD4A5A"/>
    <w:rsid w:val="00AE06B8"/>
    <w:rsid w:val="00AE27AC"/>
    <w:rsid w:val="00AE28E6"/>
    <w:rsid w:val="00AE3743"/>
    <w:rsid w:val="00AE40E0"/>
    <w:rsid w:val="00AE4DBA"/>
    <w:rsid w:val="00AE4F07"/>
    <w:rsid w:val="00AF1C5D"/>
    <w:rsid w:val="00AF42D7"/>
    <w:rsid w:val="00B006FE"/>
    <w:rsid w:val="00B007CB"/>
    <w:rsid w:val="00B02AA9"/>
    <w:rsid w:val="00B02FA3"/>
    <w:rsid w:val="00B03CB7"/>
    <w:rsid w:val="00B04013"/>
    <w:rsid w:val="00B05084"/>
    <w:rsid w:val="00B10F0A"/>
    <w:rsid w:val="00B157F9"/>
    <w:rsid w:val="00B20256"/>
    <w:rsid w:val="00B20D09"/>
    <w:rsid w:val="00B25203"/>
    <w:rsid w:val="00B25E13"/>
    <w:rsid w:val="00B2763F"/>
    <w:rsid w:val="00B27AAC"/>
    <w:rsid w:val="00B30929"/>
    <w:rsid w:val="00B332A3"/>
    <w:rsid w:val="00B372AA"/>
    <w:rsid w:val="00B40445"/>
    <w:rsid w:val="00B41888"/>
    <w:rsid w:val="00B45A52"/>
    <w:rsid w:val="00B46175"/>
    <w:rsid w:val="00B6188F"/>
    <w:rsid w:val="00B664C7"/>
    <w:rsid w:val="00B739F6"/>
    <w:rsid w:val="00B81A6C"/>
    <w:rsid w:val="00B85DE5"/>
    <w:rsid w:val="00B90F73"/>
    <w:rsid w:val="00B93B59"/>
    <w:rsid w:val="00B9406A"/>
    <w:rsid w:val="00B9728D"/>
    <w:rsid w:val="00BA21AF"/>
    <w:rsid w:val="00BA2280"/>
    <w:rsid w:val="00BA2A08"/>
    <w:rsid w:val="00BA56D2"/>
    <w:rsid w:val="00BA76E0"/>
    <w:rsid w:val="00BB2A25"/>
    <w:rsid w:val="00BB2E21"/>
    <w:rsid w:val="00BB4F8F"/>
    <w:rsid w:val="00BB51E9"/>
    <w:rsid w:val="00BC0FDC"/>
    <w:rsid w:val="00BC3053"/>
    <w:rsid w:val="00BC4D2E"/>
    <w:rsid w:val="00BD0A37"/>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07ADF"/>
    <w:rsid w:val="00C10478"/>
    <w:rsid w:val="00C12107"/>
    <w:rsid w:val="00C12A6D"/>
    <w:rsid w:val="00C14D4B"/>
    <w:rsid w:val="00C154BB"/>
    <w:rsid w:val="00C24345"/>
    <w:rsid w:val="00C279B5"/>
    <w:rsid w:val="00C27C45"/>
    <w:rsid w:val="00C31E20"/>
    <w:rsid w:val="00C3719D"/>
    <w:rsid w:val="00C37FA2"/>
    <w:rsid w:val="00C54995"/>
    <w:rsid w:val="00C54D41"/>
    <w:rsid w:val="00C601EB"/>
    <w:rsid w:val="00C60783"/>
    <w:rsid w:val="00C64672"/>
    <w:rsid w:val="00C67AE5"/>
    <w:rsid w:val="00C70697"/>
    <w:rsid w:val="00C72EF4"/>
    <w:rsid w:val="00C75D2F"/>
    <w:rsid w:val="00C767BE"/>
    <w:rsid w:val="00C76E3C"/>
    <w:rsid w:val="00C81568"/>
    <w:rsid w:val="00C9027A"/>
    <w:rsid w:val="00C9046A"/>
    <w:rsid w:val="00C9068E"/>
    <w:rsid w:val="00C93C4B"/>
    <w:rsid w:val="00C944AB"/>
    <w:rsid w:val="00C95B40"/>
    <w:rsid w:val="00C96AC5"/>
    <w:rsid w:val="00CA1ED8"/>
    <w:rsid w:val="00CA4A3A"/>
    <w:rsid w:val="00CA5CD0"/>
    <w:rsid w:val="00CB1F63"/>
    <w:rsid w:val="00CB2174"/>
    <w:rsid w:val="00CB3838"/>
    <w:rsid w:val="00CB57BC"/>
    <w:rsid w:val="00CB7170"/>
    <w:rsid w:val="00CC040E"/>
    <w:rsid w:val="00CC111F"/>
    <w:rsid w:val="00CC2011"/>
    <w:rsid w:val="00CC23F9"/>
    <w:rsid w:val="00CC265B"/>
    <w:rsid w:val="00CC3EA0"/>
    <w:rsid w:val="00CC51DC"/>
    <w:rsid w:val="00CC7B45"/>
    <w:rsid w:val="00CD1188"/>
    <w:rsid w:val="00CD2ED1"/>
    <w:rsid w:val="00CD337B"/>
    <w:rsid w:val="00CE0424"/>
    <w:rsid w:val="00CE3518"/>
    <w:rsid w:val="00CE508C"/>
    <w:rsid w:val="00CE7561"/>
    <w:rsid w:val="00CF1354"/>
    <w:rsid w:val="00CF3B1F"/>
    <w:rsid w:val="00CF3BF6"/>
    <w:rsid w:val="00CF625B"/>
    <w:rsid w:val="00CF687E"/>
    <w:rsid w:val="00D0349B"/>
    <w:rsid w:val="00D05F66"/>
    <w:rsid w:val="00D10249"/>
    <w:rsid w:val="00D115C3"/>
    <w:rsid w:val="00D11897"/>
    <w:rsid w:val="00D13135"/>
    <w:rsid w:val="00D13E4E"/>
    <w:rsid w:val="00D17291"/>
    <w:rsid w:val="00D239A7"/>
    <w:rsid w:val="00D23F47"/>
    <w:rsid w:val="00D36E71"/>
    <w:rsid w:val="00D37D87"/>
    <w:rsid w:val="00D40B33"/>
    <w:rsid w:val="00D4318F"/>
    <w:rsid w:val="00D438BF"/>
    <w:rsid w:val="00D440F8"/>
    <w:rsid w:val="00D50F97"/>
    <w:rsid w:val="00D546FF"/>
    <w:rsid w:val="00D55906"/>
    <w:rsid w:val="00D55AD5"/>
    <w:rsid w:val="00D576CA"/>
    <w:rsid w:val="00D61AF5"/>
    <w:rsid w:val="00D652B5"/>
    <w:rsid w:val="00D66155"/>
    <w:rsid w:val="00D708B0"/>
    <w:rsid w:val="00D77B1D"/>
    <w:rsid w:val="00D8021F"/>
    <w:rsid w:val="00D80383"/>
    <w:rsid w:val="00D8083E"/>
    <w:rsid w:val="00D823C6"/>
    <w:rsid w:val="00D86CA3"/>
    <w:rsid w:val="00D871CE"/>
    <w:rsid w:val="00D906E6"/>
    <w:rsid w:val="00D9196D"/>
    <w:rsid w:val="00D92982"/>
    <w:rsid w:val="00DA305E"/>
    <w:rsid w:val="00DA31FB"/>
    <w:rsid w:val="00DA5417"/>
    <w:rsid w:val="00DA56E8"/>
    <w:rsid w:val="00DA6CD0"/>
    <w:rsid w:val="00DB0A9F"/>
    <w:rsid w:val="00DB0BA1"/>
    <w:rsid w:val="00DB377D"/>
    <w:rsid w:val="00DC2D36"/>
    <w:rsid w:val="00DC53EF"/>
    <w:rsid w:val="00DD06D1"/>
    <w:rsid w:val="00DE009A"/>
    <w:rsid w:val="00DE0678"/>
    <w:rsid w:val="00DE198E"/>
    <w:rsid w:val="00DE5608"/>
    <w:rsid w:val="00DE58D0"/>
    <w:rsid w:val="00DE654F"/>
    <w:rsid w:val="00DF0B6E"/>
    <w:rsid w:val="00DF15E0"/>
    <w:rsid w:val="00DF37A0"/>
    <w:rsid w:val="00E03A02"/>
    <w:rsid w:val="00E04C01"/>
    <w:rsid w:val="00E110E7"/>
    <w:rsid w:val="00E11B20"/>
    <w:rsid w:val="00E14C14"/>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4D1"/>
    <w:rsid w:val="00E54E3B"/>
    <w:rsid w:val="00E57565"/>
    <w:rsid w:val="00E63838"/>
    <w:rsid w:val="00E64434"/>
    <w:rsid w:val="00E67C51"/>
    <w:rsid w:val="00E7254D"/>
    <w:rsid w:val="00E72EFC"/>
    <w:rsid w:val="00E758EC"/>
    <w:rsid w:val="00E76ECB"/>
    <w:rsid w:val="00E8234C"/>
    <w:rsid w:val="00E827EB"/>
    <w:rsid w:val="00E8370E"/>
    <w:rsid w:val="00E83AA9"/>
    <w:rsid w:val="00E83B4E"/>
    <w:rsid w:val="00E85928"/>
    <w:rsid w:val="00E87822"/>
    <w:rsid w:val="00E90395"/>
    <w:rsid w:val="00E90E49"/>
    <w:rsid w:val="00E917F4"/>
    <w:rsid w:val="00E917F9"/>
    <w:rsid w:val="00E9291C"/>
    <w:rsid w:val="00E93FFE"/>
    <w:rsid w:val="00E94F8A"/>
    <w:rsid w:val="00EA7A41"/>
    <w:rsid w:val="00EA7F67"/>
    <w:rsid w:val="00EB077B"/>
    <w:rsid w:val="00EB20F7"/>
    <w:rsid w:val="00EB4EA2"/>
    <w:rsid w:val="00EC27C6"/>
    <w:rsid w:val="00EC4207"/>
    <w:rsid w:val="00EC4399"/>
    <w:rsid w:val="00EC5653"/>
    <w:rsid w:val="00EC71CE"/>
    <w:rsid w:val="00ED1006"/>
    <w:rsid w:val="00EE40FC"/>
    <w:rsid w:val="00EF06B0"/>
    <w:rsid w:val="00EF18FE"/>
    <w:rsid w:val="00EF5787"/>
    <w:rsid w:val="00EF60D0"/>
    <w:rsid w:val="00F03127"/>
    <w:rsid w:val="00F0528D"/>
    <w:rsid w:val="00F064FE"/>
    <w:rsid w:val="00F06C67"/>
    <w:rsid w:val="00F06DFD"/>
    <w:rsid w:val="00F071D1"/>
    <w:rsid w:val="00F07533"/>
    <w:rsid w:val="00F10629"/>
    <w:rsid w:val="00F15FA5"/>
    <w:rsid w:val="00F17E5C"/>
    <w:rsid w:val="00F209B7"/>
    <w:rsid w:val="00F213E8"/>
    <w:rsid w:val="00F2376F"/>
    <w:rsid w:val="00F243D8"/>
    <w:rsid w:val="00F30828"/>
    <w:rsid w:val="00F313D6"/>
    <w:rsid w:val="00F40F0C"/>
    <w:rsid w:val="00F4766C"/>
    <w:rsid w:val="00F507D1"/>
    <w:rsid w:val="00F519CE"/>
    <w:rsid w:val="00F51ADA"/>
    <w:rsid w:val="00F57953"/>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4BA4"/>
    <w:rsid w:val="00F96985"/>
    <w:rsid w:val="00F97838"/>
    <w:rsid w:val="00FA2706"/>
    <w:rsid w:val="00FA2BB3"/>
    <w:rsid w:val="00FB4C80"/>
    <w:rsid w:val="00FB6A6A"/>
    <w:rsid w:val="00FC4EE0"/>
    <w:rsid w:val="00FC7429"/>
    <w:rsid w:val="00FD07F6"/>
    <w:rsid w:val="00FD1EC8"/>
    <w:rsid w:val="00FD2CEA"/>
    <w:rsid w:val="00FD47ED"/>
    <w:rsid w:val="00FD74DB"/>
    <w:rsid w:val="00FD7660"/>
    <w:rsid w:val="00FE0655"/>
    <w:rsid w:val="00FE2365"/>
    <w:rsid w:val="00FE4C7B"/>
    <w:rsid w:val="00FE7336"/>
    <w:rsid w:val="00FE787C"/>
    <w:rsid w:val="00FF22F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EC7A0D"/>
  <w15:chartTrackingRefBased/>
  <w15:docId w15:val="{F2DC2404-6C55-4E42-91FD-FCE40753D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uiPriority="99"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6EA4"/>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565F7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65F7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65F7C"/>
    <w:pPr>
      <w:numPr>
        <w:ilvl w:val="2"/>
      </w:numPr>
      <w:spacing w:before="120"/>
      <w:outlineLvl w:val="2"/>
    </w:pPr>
    <w:rPr>
      <w:sz w:val="28"/>
      <w:szCs w:val="28"/>
    </w:rPr>
  </w:style>
  <w:style w:type="paragraph" w:styleId="Heading4">
    <w:name w:val="heading 4"/>
    <w:basedOn w:val="Heading3"/>
    <w:next w:val="Normal"/>
    <w:qFormat/>
    <w:rsid w:val="00565F7C"/>
    <w:pPr>
      <w:numPr>
        <w:ilvl w:val="3"/>
      </w:numPr>
      <w:outlineLvl w:val="3"/>
    </w:pPr>
    <w:rPr>
      <w:sz w:val="24"/>
      <w:szCs w:val="24"/>
    </w:rPr>
  </w:style>
  <w:style w:type="paragraph" w:styleId="Heading5">
    <w:name w:val="heading 5"/>
    <w:basedOn w:val="Heading4"/>
    <w:next w:val="Normal"/>
    <w:qFormat/>
    <w:rsid w:val="00565F7C"/>
    <w:pPr>
      <w:numPr>
        <w:ilvl w:val="4"/>
      </w:numPr>
      <w:outlineLvl w:val="4"/>
    </w:pPr>
    <w:rPr>
      <w:sz w:val="22"/>
      <w:szCs w:val="22"/>
    </w:rPr>
  </w:style>
  <w:style w:type="paragraph" w:styleId="Heading6">
    <w:name w:val="heading 6"/>
    <w:basedOn w:val="Normal"/>
    <w:next w:val="Normal"/>
    <w:qFormat/>
    <w:rsid w:val="00565F7C"/>
    <w:pPr>
      <w:keepNext/>
      <w:keepLines/>
      <w:numPr>
        <w:ilvl w:val="5"/>
        <w:numId w:val="1"/>
      </w:numPr>
      <w:spacing w:before="120"/>
      <w:outlineLvl w:val="5"/>
    </w:pPr>
    <w:rPr>
      <w:rFonts w:cs="Arial"/>
    </w:rPr>
  </w:style>
  <w:style w:type="paragraph" w:styleId="Heading7">
    <w:name w:val="heading 7"/>
    <w:basedOn w:val="Normal"/>
    <w:next w:val="Normal"/>
    <w:qFormat/>
    <w:rsid w:val="00565F7C"/>
    <w:pPr>
      <w:keepNext/>
      <w:keepLines/>
      <w:numPr>
        <w:ilvl w:val="6"/>
        <w:numId w:val="1"/>
      </w:numPr>
      <w:spacing w:before="120"/>
      <w:outlineLvl w:val="6"/>
    </w:pPr>
    <w:rPr>
      <w:rFonts w:cs="Arial"/>
    </w:rPr>
  </w:style>
  <w:style w:type="paragraph" w:styleId="Heading8">
    <w:name w:val="heading 8"/>
    <w:basedOn w:val="Heading7"/>
    <w:next w:val="Normal"/>
    <w:qFormat/>
    <w:rsid w:val="00565F7C"/>
    <w:pPr>
      <w:numPr>
        <w:ilvl w:val="7"/>
      </w:numPr>
      <w:outlineLvl w:val="7"/>
    </w:pPr>
  </w:style>
  <w:style w:type="paragraph" w:styleId="Heading9">
    <w:name w:val="heading 9"/>
    <w:basedOn w:val="Heading8"/>
    <w:next w:val="Normal"/>
    <w:qFormat/>
    <w:rsid w:val="00565F7C"/>
    <w:pPr>
      <w:numPr>
        <w:ilvl w:val="8"/>
      </w:numPr>
      <w:outlineLvl w:val="8"/>
    </w:pPr>
  </w:style>
  <w:style w:type="character" w:default="1" w:styleId="DefaultParagraphFont">
    <w:name w:val="Default Paragraph Font"/>
    <w:uiPriority w:val="1"/>
    <w:semiHidden/>
    <w:unhideWhenUsed/>
    <w:rsid w:val="00A96E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6EA4"/>
  </w:style>
  <w:style w:type="paragraph" w:styleId="TOC8">
    <w:name w:val="toc 8"/>
    <w:basedOn w:val="TOC1"/>
    <w:semiHidden/>
    <w:rsid w:val="00565F7C"/>
    <w:pPr>
      <w:spacing w:before="180"/>
      <w:ind w:left="2693" w:hanging="2693"/>
    </w:pPr>
    <w:rPr>
      <w:b w:val="0"/>
      <w:bCs/>
    </w:rPr>
  </w:style>
  <w:style w:type="paragraph" w:styleId="TOC1">
    <w:name w:val="toc 1"/>
    <w:aliases w:val="Observation TOC2"/>
    <w:uiPriority w:val="39"/>
    <w:rsid w:val="00565F7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65F7C"/>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uiPriority w:val="99"/>
    <w:qFormat/>
    <w:rsid w:val="00565F7C"/>
    <w:pPr>
      <w:spacing w:after="240"/>
      <w:jc w:val="center"/>
    </w:pPr>
    <w:rPr>
      <w:b/>
      <w:bCs/>
    </w:rPr>
  </w:style>
  <w:style w:type="paragraph" w:styleId="TOC5">
    <w:name w:val="toc 5"/>
    <w:aliases w:val="Observation TOC"/>
    <w:basedOn w:val="TOC4"/>
    <w:semiHidden/>
    <w:rsid w:val="00565F7C"/>
    <w:pPr>
      <w:tabs>
        <w:tab w:val="right" w:pos="1701"/>
      </w:tabs>
      <w:ind w:left="1701" w:hanging="1701"/>
    </w:pPr>
  </w:style>
  <w:style w:type="paragraph" w:styleId="TOC4">
    <w:name w:val="toc 4"/>
    <w:basedOn w:val="TOC3"/>
    <w:semiHidden/>
    <w:rsid w:val="00565F7C"/>
    <w:pPr>
      <w:ind w:left="1418" w:hanging="1418"/>
    </w:pPr>
  </w:style>
  <w:style w:type="paragraph" w:styleId="TOC3">
    <w:name w:val="toc 3"/>
    <w:basedOn w:val="TOC2"/>
    <w:semiHidden/>
    <w:rsid w:val="00565F7C"/>
    <w:pPr>
      <w:ind w:left="1134" w:hanging="1134"/>
    </w:pPr>
  </w:style>
  <w:style w:type="paragraph" w:styleId="TOC2">
    <w:name w:val="toc 2"/>
    <w:basedOn w:val="TOC1"/>
    <w:semiHidden/>
    <w:rsid w:val="00565F7C"/>
    <w:pPr>
      <w:keepNext w:val="0"/>
      <w:spacing w:before="0"/>
      <w:ind w:left="851" w:hanging="851"/>
    </w:pPr>
    <w:rPr>
      <w:szCs w:val="20"/>
    </w:rPr>
  </w:style>
  <w:style w:type="paragraph" w:styleId="Index2">
    <w:name w:val="index 2"/>
    <w:basedOn w:val="Index1"/>
    <w:semiHidden/>
    <w:rsid w:val="00565F7C"/>
    <w:pPr>
      <w:ind w:left="284"/>
    </w:pPr>
  </w:style>
  <w:style w:type="paragraph" w:styleId="Index1">
    <w:name w:val="index 1"/>
    <w:basedOn w:val="Normal"/>
    <w:semiHidden/>
    <w:rsid w:val="00565F7C"/>
    <w:pPr>
      <w:keepLines/>
      <w:spacing w:after="0"/>
    </w:pPr>
  </w:style>
  <w:style w:type="paragraph" w:styleId="DocumentMap">
    <w:name w:val="Document Map"/>
    <w:basedOn w:val="Normal"/>
    <w:semiHidden/>
    <w:rsid w:val="00565F7C"/>
    <w:pPr>
      <w:shd w:val="clear" w:color="auto" w:fill="000080"/>
    </w:pPr>
    <w:rPr>
      <w:rFonts w:ascii="Tahoma" w:hAnsi="Tahoma" w:cs="Tahoma"/>
    </w:rPr>
  </w:style>
  <w:style w:type="paragraph" w:styleId="ListNumber2">
    <w:name w:val="List Number 2"/>
    <w:basedOn w:val="ListNumber"/>
    <w:rsid w:val="00565F7C"/>
    <w:pPr>
      <w:ind w:left="851"/>
    </w:pPr>
  </w:style>
  <w:style w:type="paragraph" w:styleId="ListNumber">
    <w:name w:val="List Number"/>
    <w:basedOn w:val="List"/>
    <w:rsid w:val="00565F7C"/>
  </w:style>
  <w:style w:type="paragraph" w:styleId="List">
    <w:name w:val="List"/>
    <w:basedOn w:val="Normal"/>
    <w:rsid w:val="00565F7C"/>
    <w:pPr>
      <w:ind w:left="568" w:hanging="284"/>
    </w:pPr>
  </w:style>
  <w:style w:type="paragraph" w:styleId="Header">
    <w:name w:val="header"/>
    <w:rsid w:val="00565F7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65F7C"/>
    <w:rPr>
      <w:b/>
      <w:bCs/>
      <w:position w:val="6"/>
      <w:sz w:val="16"/>
      <w:szCs w:val="16"/>
    </w:rPr>
  </w:style>
  <w:style w:type="paragraph" w:styleId="FootnoteText">
    <w:name w:val="footnote text"/>
    <w:basedOn w:val="Normal"/>
    <w:semiHidden/>
    <w:rsid w:val="00565F7C"/>
    <w:pPr>
      <w:keepLines/>
      <w:spacing w:after="0"/>
      <w:ind w:left="454" w:hanging="454"/>
    </w:pPr>
    <w:rPr>
      <w:sz w:val="16"/>
      <w:szCs w:val="16"/>
    </w:rPr>
  </w:style>
  <w:style w:type="paragraph" w:customStyle="1" w:styleId="3GPPHeader">
    <w:name w:val="3GPP_Header"/>
    <w:basedOn w:val="Normal"/>
    <w:rsid w:val="00565F7C"/>
    <w:pPr>
      <w:tabs>
        <w:tab w:val="left" w:pos="1701"/>
        <w:tab w:val="right" w:pos="9639"/>
      </w:tabs>
      <w:spacing w:after="240"/>
    </w:pPr>
    <w:rPr>
      <w:b/>
      <w:sz w:val="24"/>
    </w:rPr>
  </w:style>
  <w:style w:type="paragraph" w:styleId="TOC9">
    <w:name w:val="toc 9"/>
    <w:basedOn w:val="TOC8"/>
    <w:semiHidden/>
    <w:rsid w:val="00565F7C"/>
    <w:pPr>
      <w:ind w:left="1418" w:hanging="1418"/>
    </w:pPr>
  </w:style>
  <w:style w:type="paragraph" w:styleId="TOC6">
    <w:name w:val="toc 6"/>
    <w:basedOn w:val="TOC5"/>
    <w:next w:val="Normal"/>
    <w:semiHidden/>
    <w:rsid w:val="00565F7C"/>
    <w:pPr>
      <w:ind w:left="1985" w:hanging="1985"/>
    </w:pPr>
  </w:style>
  <w:style w:type="paragraph" w:styleId="TOC7">
    <w:name w:val="toc 7"/>
    <w:basedOn w:val="TOC6"/>
    <w:next w:val="Normal"/>
    <w:semiHidden/>
    <w:rsid w:val="00565F7C"/>
    <w:pPr>
      <w:ind w:left="2268" w:hanging="2268"/>
    </w:pPr>
  </w:style>
  <w:style w:type="paragraph" w:styleId="ListBullet2">
    <w:name w:val="List Bullet 2"/>
    <w:basedOn w:val="ListBullet"/>
    <w:rsid w:val="00565F7C"/>
    <w:pPr>
      <w:numPr>
        <w:numId w:val="6"/>
      </w:numPr>
    </w:pPr>
  </w:style>
  <w:style w:type="paragraph" w:styleId="ListBullet">
    <w:name w:val="List Bullet"/>
    <w:basedOn w:val="BodyText"/>
    <w:rsid w:val="00565F7C"/>
    <w:pPr>
      <w:numPr>
        <w:numId w:val="5"/>
      </w:numPr>
    </w:pPr>
  </w:style>
  <w:style w:type="paragraph" w:styleId="ListBullet3">
    <w:name w:val="List Bullet 3"/>
    <w:basedOn w:val="ListBullet2"/>
    <w:rsid w:val="00565F7C"/>
    <w:pPr>
      <w:numPr>
        <w:numId w:val="7"/>
      </w:numPr>
    </w:pPr>
  </w:style>
  <w:style w:type="paragraph" w:customStyle="1" w:styleId="EQ">
    <w:name w:val="EQ"/>
    <w:basedOn w:val="Normal"/>
    <w:next w:val="Normal"/>
    <w:rsid w:val="00565F7C"/>
    <w:pPr>
      <w:keepLines/>
      <w:tabs>
        <w:tab w:val="center" w:pos="4536"/>
        <w:tab w:val="right" w:pos="9072"/>
      </w:tabs>
      <w:spacing w:after="180"/>
    </w:pPr>
    <w:rPr>
      <w:noProof/>
    </w:rPr>
  </w:style>
  <w:style w:type="paragraph" w:styleId="List2">
    <w:name w:val="List 2"/>
    <w:basedOn w:val="List"/>
    <w:rsid w:val="00565F7C"/>
    <w:pPr>
      <w:ind w:left="851"/>
    </w:pPr>
  </w:style>
  <w:style w:type="paragraph" w:styleId="List3">
    <w:name w:val="List 3"/>
    <w:basedOn w:val="List2"/>
    <w:rsid w:val="00565F7C"/>
    <w:pPr>
      <w:ind w:left="1135"/>
    </w:pPr>
  </w:style>
  <w:style w:type="paragraph" w:styleId="List4">
    <w:name w:val="List 4"/>
    <w:basedOn w:val="List3"/>
    <w:rsid w:val="00565F7C"/>
    <w:pPr>
      <w:ind w:left="1418"/>
    </w:pPr>
  </w:style>
  <w:style w:type="paragraph" w:styleId="List5">
    <w:name w:val="List 5"/>
    <w:basedOn w:val="List4"/>
    <w:rsid w:val="00565F7C"/>
    <w:pPr>
      <w:ind w:left="1702"/>
    </w:pPr>
  </w:style>
  <w:style w:type="paragraph" w:customStyle="1" w:styleId="EditorsNote">
    <w:name w:val="Editor's Note"/>
    <w:basedOn w:val="Normal"/>
    <w:rsid w:val="00565F7C"/>
    <w:pPr>
      <w:keepLines/>
      <w:spacing w:after="180"/>
      <w:ind w:left="1135" w:hanging="851"/>
    </w:pPr>
    <w:rPr>
      <w:color w:val="FF0000"/>
    </w:rPr>
  </w:style>
  <w:style w:type="paragraph" w:styleId="ListBullet4">
    <w:name w:val="List Bullet 4"/>
    <w:basedOn w:val="ListBullet3"/>
    <w:rsid w:val="00565F7C"/>
    <w:pPr>
      <w:numPr>
        <w:numId w:val="8"/>
      </w:numPr>
    </w:pPr>
  </w:style>
  <w:style w:type="paragraph" w:styleId="ListBullet5">
    <w:name w:val="List Bullet 5"/>
    <w:basedOn w:val="ListBullet4"/>
    <w:rsid w:val="00565F7C"/>
    <w:pPr>
      <w:numPr>
        <w:numId w:val="4"/>
      </w:numPr>
    </w:pPr>
  </w:style>
  <w:style w:type="paragraph" w:styleId="Footer">
    <w:name w:val="footer"/>
    <w:basedOn w:val="Header"/>
    <w:semiHidden/>
    <w:rsid w:val="00565F7C"/>
    <w:pPr>
      <w:jc w:val="center"/>
    </w:pPr>
    <w:rPr>
      <w:i/>
      <w:iCs/>
    </w:rPr>
  </w:style>
  <w:style w:type="paragraph" w:customStyle="1" w:styleId="Reference">
    <w:name w:val="Reference"/>
    <w:basedOn w:val="Normal"/>
    <w:rsid w:val="00565F7C"/>
    <w:pPr>
      <w:numPr>
        <w:numId w:val="2"/>
      </w:numPr>
    </w:pPr>
  </w:style>
  <w:style w:type="paragraph" w:styleId="BalloonText">
    <w:name w:val="Balloon Text"/>
    <w:basedOn w:val="Normal"/>
    <w:semiHidden/>
    <w:rsid w:val="00565F7C"/>
    <w:rPr>
      <w:rFonts w:ascii="Tahoma" w:hAnsi="Tahoma" w:cs="Tahoma"/>
      <w:sz w:val="16"/>
      <w:szCs w:val="16"/>
    </w:rPr>
  </w:style>
  <w:style w:type="character" w:styleId="PageNumber">
    <w:name w:val="page number"/>
    <w:basedOn w:val="DefaultParagraphFont"/>
    <w:semiHidden/>
    <w:rsid w:val="00565F7C"/>
  </w:style>
  <w:style w:type="paragraph" w:styleId="BodyText">
    <w:name w:val="Body Text"/>
    <w:basedOn w:val="Normal"/>
    <w:link w:val="BodyTextChar"/>
    <w:rsid w:val="00565F7C"/>
  </w:style>
  <w:style w:type="character" w:styleId="Hyperlink">
    <w:name w:val="Hyperlink"/>
    <w:uiPriority w:val="99"/>
    <w:rsid w:val="00565F7C"/>
    <w:rPr>
      <w:color w:val="0000FF"/>
      <w:u w:val="single"/>
      <w:lang w:val="en-GB"/>
    </w:rPr>
  </w:style>
  <w:style w:type="character" w:styleId="FollowedHyperlink">
    <w:name w:val="FollowedHyperlink"/>
    <w:semiHidden/>
    <w:rsid w:val="00565F7C"/>
    <w:rPr>
      <w:color w:val="FF0000"/>
      <w:u w:val="single"/>
    </w:rPr>
  </w:style>
  <w:style w:type="character" w:styleId="CommentReference">
    <w:name w:val="annotation reference"/>
    <w:semiHidden/>
    <w:rsid w:val="00565F7C"/>
    <w:rPr>
      <w:sz w:val="16"/>
      <w:szCs w:val="16"/>
    </w:rPr>
  </w:style>
  <w:style w:type="paragraph" w:styleId="CommentText">
    <w:name w:val="annotation text"/>
    <w:basedOn w:val="Normal"/>
    <w:semiHidden/>
    <w:rsid w:val="00565F7C"/>
  </w:style>
  <w:style w:type="paragraph" w:styleId="CommentSubject">
    <w:name w:val="annotation subject"/>
    <w:basedOn w:val="CommentText"/>
    <w:next w:val="CommentText"/>
    <w:semiHidden/>
    <w:rsid w:val="00565F7C"/>
    <w:rPr>
      <w:b/>
      <w:bCs/>
    </w:rPr>
  </w:style>
  <w:style w:type="character" w:customStyle="1" w:styleId="Heading1Char">
    <w:name w:val="Heading 1 Char"/>
    <w:link w:val="Heading1"/>
    <w:rsid w:val="00565F7C"/>
    <w:rPr>
      <w:rFonts w:ascii="Arial" w:hAnsi="Arial" w:cs="Arial"/>
      <w:sz w:val="36"/>
      <w:szCs w:val="36"/>
      <w:lang w:val="en-GB" w:eastAsia="zh-CN"/>
    </w:rPr>
  </w:style>
  <w:style w:type="paragraph" w:customStyle="1" w:styleId="B1">
    <w:name w:val="B1"/>
    <w:basedOn w:val="List"/>
    <w:rsid w:val="00565F7C"/>
    <w:pPr>
      <w:spacing w:after="180"/>
    </w:pPr>
  </w:style>
  <w:style w:type="paragraph" w:customStyle="1" w:styleId="B2">
    <w:name w:val="B2"/>
    <w:basedOn w:val="List2"/>
    <w:rsid w:val="00565F7C"/>
    <w:pPr>
      <w:spacing w:after="180"/>
    </w:pPr>
  </w:style>
  <w:style w:type="paragraph" w:customStyle="1" w:styleId="B3">
    <w:name w:val="B3"/>
    <w:basedOn w:val="List3"/>
    <w:rsid w:val="00565F7C"/>
    <w:pPr>
      <w:spacing w:after="180"/>
    </w:pPr>
  </w:style>
  <w:style w:type="paragraph" w:customStyle="1" w:styleId="B4">
    <w:name w:val="B4"/>
    <w:basedOn w:val="List4"/>
    <w:rsid w:val="00565F7C"/>
    <w:pPr>
      <w:spacing w:after="180"/>
    </w:pPr>
  </w:style>
  <w:style w:type="paragraph" w:customStyle="1" w:styleId="Proposal">
    <w:name w:val="Proposal"/>
    <w:basedOn w:val="Normal"/>
    <w:rsid w:val="00565F7C"/>
    <w:pPr>
      <w:numPr>
        <w:numId w:val="3"/>
      </w:numPr>
      <w:tabs>
        <w:tab w:val="clear" w:pos="1304"/>
        <w:tab w:val="left" w:pos="1701"/>
      </w:tabs>
      <w:ind w:left="1701" w:hanging="1701"/>
    </w:pPr>
    <w:rPr>
      <w:b/>
      <w:bCs/>
    </w:rPr>
  </w:style>
  <w:style w:type="character" w:customStyle="1" w:styleId="BodyTextChar">
    <w:name w:val="Body Text Char"/>
    <w:link w:val="BodyText"/>
    <w:rsid w:val="00565F7C"/>
    <w:rPr>
      <w:rFonts w:ascii="Arial" w:hAnsi="Arial"/>
      <w:lang w:val="en-GB" w:eastAsia="zh-CN"/>
    </w:rPr>
  </w:style>
  <w:style w:type="paragraph" w:customStyle="1" w:styleId="B5">
    <w:name w:val="B5"/>
    <w:basedOn w:val="List5"/>
    <w:rsid w:val="00565F7C"/>
    <w:pPr>
      <w:spacing w:after="180"/>
    </w:pPr>
  </w:style>
  <w:style w:type="paragraph" w:customStyle="1" w:styleId="EX">
    <w:name w:val="EX"/>
    <w:basedOn w:val="Normal"/>
    <w:rsid w:val="00565F7C"/>
    <w:pPr>
      <w:keepLines/>
      <w:spacing w:after="180"/>
      <w:ind w:left="1702" w:hanging="1418"/>
    </w:pPr>
  </w:style>
  <w:style w:type="paragraph" w:customStyle="1" w:styleId="EW">
    <w:name w:val="EW"/>
    <w:basedOn w:val="EX"/>
    <w:rsid w:val="00565F7C"/>
    <w:pPr>
      <w:spacing w:after="0"/>
    </w:pPr>
  </w:style>
  <w:style w:type="paragraph" w:customStyle="1" w:styleId="TAL">
    <w:name w:val="TAL"/>
    <w:basedOn w:val="Normal"/>
    <w:rsid w:val="00565F7C"/>
    <w:pPr>
      <w:keepNext/>
      <w:keepLines/>
      <w:spacing w:after="0"/>
    </w:pPr>
    <w:rPr>
      <w:sz w:val="18"/>
    </w:rPr>
  </w:style>
  <w:style w:type="paragraph" w:customStyle="1" w:styleId="TAC">
    <w:name w:val="TAC"/>
    <w:basedOn w:val="TAL"/>
    <w:rsid w:val="00565F7C"/>
    <w:pPr>
      <w:jc w:val="center"/>
    </w:pPr>
  </w:style>
  <w:style w:type="paragraph" w:customStyle="1" w:styleId="TAH">
    <w:name w:val="TAH"/>
    <w:basedOn w:val="TAC"/>
    <w:rsid w:val="00565F7C"/>
    <w:rPr>
      <w:b/>
    </w:rPr>
  </w:style>
  <w:style w:type="paragraph" w:customStyle="1" w:styleId="TAN">
    <w:name w:val="TAN"/>
    <w:basedOn w:val="TAL"/>
    <w:rsid w:val="00565F7C"/>
    <w:pPr>
      <w:ind w:left="851" w:hanging="851"/>
    </w:pPr>
  </w:style>
  <w:style w:type="paragraph" w:customStyle="1" w:styleId="TAR">
    <w:name w:val="TAR"/>
    <w:basedOn w:val="TAL"/>
    <w:rsid w:val="00565F7C"/>
    <w:pPr>
      <w:jc w:val="right"/>
    </w:pPr>
  </w:style>
  <w:style w:type="paragraph" w:customStyle="1" w:styleId="TH">
    <w:name w:val="TH"/>
    <w:basedOn w:val="Normal"/>
    <w:rsid w:val="00565F7C"/>
    <w:pPr>
      <w:keepNext/>
      <w:keepLines/>
      <w:spacing w:before="60" w:after="180"/>
      <w:jc w:val="center"/>
    </w:pPr>
    <w:rPr>
      <w:b/>
    </w:rPr>
  </w:style>
  <w:style w:type="paragraph" w:customStyle="1" w:styleId="TF">
    <w:name w:val="TF"/>
    <w:basedOn w:val="TH"/>
    <w:rsid w:val="00565F7C"/>
    <w:pPr>
      <w:keepNext w:val="0"/>
      <w:spacing w:before="0" w:after="240"/>
    </w:pPr>
  </w:style>
  <w:style w:type="paragraph" w:customStyle="1" w:styleId="TT">
    <w:name w:val="TT"/>
    <w:basedOn w:val="Heading1"/>
    <w:next w:val="Normal"/>
    <w:rsid w:val="00565F7C"/>
    <w:pPr>
      <w:numPr>
        <w:numId w:val="0"/>
      </w:numPr>
      <w:ind w:left="1134" w:hanging="1134"/>
      <w:outlineLvl w:val="9"/>
    </w:pPr>
    <w:rPr>
      <w:rFonts w:cs="Times New Roman"/>
      <w:szCs w:val="20"/>
      <w:lang w:eastAsia="en-US"/>
    </w:rPr>
  </w:style>
  <w:style w:type="paragraph" w:customStyle="1" w:styleId="ZA">
    <w:name w:val="ZA"/>
    <w:rsid w:val="00565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65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65F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65F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65F7C"/>
  </w:style>
  <w:style w:type="paragraph" w:customStyle="1" w:styleId="ZH">
    <w:name w:val="ZH"/>
    <w:rsid w:val="00565F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65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65F7C"/>
    <w:pPr>
      <w:framePr w:hRule="auto" w:wrap="notBeside" w:y="852"/>
    </w:pPr>
    <w:rPr>
      <w:i w:val="0"/>
      <w:sz w:val="40"/>
    </w:rPr>
  </w:style>
  <w:style w:type="paragraph" w:customStyle="1" w:styleId="ZU">
    <w:name w:val="ZU"/>
    <w:rsid w:val="00565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65F7C"/>
    <w:pPr>
      <w:framePr w:wrap="notBeside" w:y="16161"/>
    </w:pPr>
  </w:style>
  <w:style w:type="paragraph" w:customStyle="1" w:styleId="FP">
    <w:name w:val="FP"/>
    <w:basedOn w:val="Normal"/>
    <w:rsid w:val="00565F7C"/>
    <w:pPr>
      <w:spacing w:after="0"/>
    </w:pPr>
  </w:style>
  <w:style w:type="paragraph" w:customStyle="1" w:styleId="Observation">
    <w:name w:val="Observation"/>
    <w:basedOn w:val="Proposal"/>
    <w:qFormat/>
    <w:rsid w:val="00565F7C"/>
    <w:pPr>
      <w:numPr>
        <w:numId w:val="13"/>
      </w:numPr>
      <w:ind w:left="1701" w:hanging="1701"/>
    </w:pPr>
  </w:style>
  <w:style w:type="paragraph" w:styleId="TableofFigures">
    <w:name w:val="table of figures"/>
    <w:basedOn w:val="Normal"/>
    <w:next w:val="Normal"/>
    <w:uiPriority w:val="99"/>
    <w:rsid w:val="00565F7C"/>
    <w:pPr>
      <w:ind w:left="1418" w:hanging="1418"/>
    </w:pPr>
    <w:rPr>
      <w:b/>
    </w:rPr>
  </w:style>
  <w:style w:type="paragraph" w:customStyle="1" w:styleId="Doc-text2">
    <w:name w:val="Doc-text2"/>
    <w:basedOn w:val="Normal"/>
    <w:link w:val="Doc-text2Char"/>
    <w:qFormat/>
    <w:rsid w:val="00565F7C"/>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65F7C"/>
    <w:rPr>
      <w:rFonts w:ascii="Arial" w:eastAsia="MS Mincho" w:hAnsi="Arial"/>
      <w:szCs w:val="24"/>
      <w:lang w:val="en-GB" w:eastAsia="en-GB"/>
    </w:rPr>
  </w:style>
  <w:style w:type="paragraph" w:styleId="ListParagraph">
    <w:name w:val="List Paragraph"/>
    <w:aliases w:val="- Bullets,목록 단락,リスト段落"/>
    <w:basedOn w:val="Normal"/>
    <w:link w:val="ListParagraphChar"/>
    <w:uiPriority w:val="34"/>
    <w:qFormat/>
    <w:rsid w:val="00D17291"/>
    <w:pPr>
      <w:spacing w:after="0"/>
      <w:ind w:leftChars="400" w:left="840" w:hanging="1440"/>
    </w:pPr>
    <w:rPr>
      <w:rFonts w:ascii="Times" w:eastAsia="Batang" w:hAnsi="Times"/>
      <w:szCs w:val="24"/>
    </w:rPr>
  </w:style>
  <w:style w:type="character" w:customStyle="1" w:styleId="ListParagraphChar">
    <w:name w:val="List Paragraph Char"/>
    <w:aliases w:val="- Bullets Char,목록 단락 Char,リスト段落 Char"/>
    <w:link w:val="ListParagraph"/>
    <w:uiPriority w:val="34"/>
    <w:qFormat/>
    <w:rsid w:val="00D17291"/>
    <w:rPr>
      <w:rFonts w:ascii="Times" w:eastAsia="Batang" w:hAnsi="Times"/>
      <w:szCs w:val="24"/>
      <w:lang w:val="en-GB"/>
    </w:rPr>
  </w:style>
  <w:style w:type="character" w:styleId="PlaceholderText">
    <w:name w:val="Placeholder Text"/>
    <w:basedOn w:val="DefaultParagraphFont"/>
    <w:uiPriority w:val="99"/>
    <w:semiHidden/>
    <w:rsid w:val="004E3BC1"/>
    <w:rPr>
      <w:color w:val="808080"/>
    </w:rPr>
  </w:style>
  <w:style w:type="table" w:styleId="TableGrid">
    <w:name w:val="Table Grid"/>
    <w:basedOn w:val="TableNormal"/>
    <w:rsid w:val="002C31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2D3A6F"/>
    <w:rPr>
      <w:i/>
      <w:iCs/>
    </w:rPr>
  </w:style>
  <w:style w:type="paragraph" w:styleId="NormalWeb">
    <w:name w:val="Normal (Web)"/>
    <w:basedOn w:val="Normal"/>
    <w:uiPriority w:val="99"/>
    <w:unhideWhenUsed/>
    <w:rsid w:val="003641C3"/>
    <w:pPr>
      <w:spacing w:before="100" w:beforeAutospacing="1" w:after="100" w:afterAutospacing="1"/>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uiPriority w:val="99"/>
    <w:rsid w:val="00DD06D1"/>
    <w:rPr>
      <w:rFonts w:asciiTheme="minorHAnsi" w:eastAsiaTheme="minorEastAsia" w:hAnsiTheme="minorHAnsi" w:cstheme="minorBidi"/>
      <w:b/>
      <w:bCs/>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028529033">
      <w:bodyDiv w:val="1"/>
      <w:marLeft w:val="0"/>
      <w:marRight w:val="0"/>
      <w:marTop w:val="0"/>
      <w:marBottom w:val="0"/>
      <w:divBdr>
        <w:top w:val="none" w:sz="0" w:space="0" w:color="auto"/>
        <w:left w:val="none" w:sz="0" w:space="0" w:color="auto"/>
        <w:bottom w:val="none" w:sz="0" w:space="0" w:color="auto"/>
        <w:right w:val="none" w:sz="0" w:space="0" w:color="auto"/>
      </w:divBdr>
    </w:div>
    <w:div w:id="103936012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77177136">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5NUHHDQN7SK2-1476151046-15384</_dlc_DocId>
    <_dlc_DocIdUrl xmlns="f166a696-7b5b-4ccd-9f0c-ffde0cceec81">
      <Url>https://ericsson.sharepoint.com/sites/star/_layouts/15/DocIdRedir.aspx?ID=5NUHHDQN7SK2-1476151046-15384</Url>
      <Description>5NUHHDQN7SK2-1476151046-15384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96F4D205-080A-4694-9848-F9A0AF24118E}">
  <ds:schemaRefs>
    <ds:schemaRef ds:uri="http://schemas.microsoft.com/sharepoint/events"/>
  </ds:schemaRefs>
</ds:datastoreItem>
</file>

<file path=customXml/itemProps3.xml><?xml version="1.0" encoding="utf-8"?>
<ds:datastoreItem xmlns:ds="http://schemas.openxmlformats.org/officeDocument/2006/customXml" ds:itemID="{2AC63192-107A-40E5-A587-11149022F810}">
  <ds:schemaRefs>
    <ds:schemaRef ds:uri="Microsoft.SharePoint.Taxonomy.ContentTypeSync"/>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29E0A9FF-A166-453F-AE2F-150ABA06C3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7.xml><?xml version="1.0" encoding="utf-8"?>
<ds:datastoreItem xmlns:ds="http://schemas.openxmlformats.org/officeDocument/2006/customXml" ds:itemID="{687F048D-ADE2-40C2-B786-FF66840B2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938</Words>
  <Characters>5350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ealshap (Alexey Shapin)</dc:creator>
  <cp:keywords>TDoc; Ericsson; 3GPP</cp:keywords>
  <dc:description/>
  <cp:lastModifiedBy>Ali Behravan</cp:lastModifiedBy>
  <cp:revision>9</cp:revision>
  <cp:lastPrinted>2008-01-31T16:09:00Z</cp:lastPrinted>
  <dcterms:created xsi:type="dcterms:W3CDTF">2018-02-15T22:36:00Z</dcterms:created>
  <dcterms:modified xsi:type="dcterms:W3CDTF">2018-02-17T00:01:00Z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993ef670-1b6e-4d27-bee6-8f137434c5c5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